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FBC" w:rsidRPr="00FD1FBC" w:rsidRDefault="00FD1FBC" w:rsidP="00FD1FBC">
      <w:pPr>
        <w:jc w:val="left"/>
        <w:rPr>
          <w:rFonts w:ascii="仿宋_GB2312" w:eastAsia="仿宋_GB2312"/>
          <w:sz w:val="32"/>
          <w:szCs w:val="32"/>
        </w:rPr>
      </w:pPr>
      <w:r w:rsidRPr="00FD1FBC">
        <w:rPr>
          <w:rFonts w:ascii="仿宋_GB2312" w:eastAsia="仿宋_GB2312" w:hint="eastAsia"/>
          <w:sz w:val="32"/>
          <w:szCs w:val="32"/>
        </w:rPr>
        <w:t>附件1：</w:t>
      </w:r>
    </w:p>
    <w:p w:rsidR="002E184F" w:rsidRDefault="002939A8">
      <w:pPr>
        <w:jc w:val="center"/>
        <w:rPr>
          <w:rFonts w:ascii="方正小标宋_GBK" w:eastAsia="方正小标宋_GBK"/>
          <w:sz w:val="36"/>
          <w:szCs w:val="36"/>
        </w:rPr>
      </w:pPr>
      <w:r>
        <w:rPr>
          <w:rFonts w:ascii="方正小标宋_GBK" w:eastAsia="方正小标宋_GBK" w:hint="eastAsia"/>
          <w:sz w:val="36"/>
          <w:szCs w:val="36"/>
        </w:rPr>
        <w:t>20</w:t>
      </w:r>
      <w:r>
        <w:rPr>
          <w:rFonts w:ascii="方正小标宋_GBK" w:eastAsia="方正小标宋_GBK"/>
          <w:sz w:val="36"/>
          <w:szCs w:val="36"/>
        </w:rPr>
        <w:t>20</w:t>
      </w:r>
      <w:r>
        <w:rPr>
          <w:rFonts w:ascii="方正小标宋_GBK" w:eastAsia="方正小标宋_GBK" w:hint="eastAsia"/>
          <w:sz w:val="36"/>
          <w:szCs w:val="36"/>
        </w:rPr>
        <w:t>年度京津冀基础研究合作专项</w:t>
      </w:r>
      <w:r w:rsidR="008D491C">
        <w:rPr>
          <w:rFonts w:ascii="方正小标宋_GBK" w:eastAsia="方正小标宋_GBK" w:hint="eastAsia"/>
          <w:sz w:val="36"/>
          <w:szCs w:val="36"/>
        </w:rPr>
        <w:t>拟</w:t>
      </w:r>
      <w:bookmarkStart w:id="0" w:name="_GoBack"/>
      <w:bookmarkEnd w:id="0"/>
      <w:r>
        <w:rPr>
          <w:rFonts w:ascii="方正小标宋_GBK" w:eastAsia="方正小标宋_GBK" w:hint="eastAsia"/>
          <w:sz w:val="36"/>
          <w:szCs w:val="36"/>
        </w:rPr>
        <w:t>资助项目名单</w:t>
      </w:r>
    </w:p>
    <w:p w:rsidR="002E184F" w:rsidRDefault="002E184F">
      <w:pPr>
        <w:jc w:val="center"/>
      </w:pPr>
    </w:p>
    <w:p w:rsidR="002E184F" w:rsidRDefault="002E184F">
      <w:pPr>
        <w:jc w:val="cente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3719"/>
        <w:gridCol w:w="921"/>
        <w:gridCol w:w="1184"/>
        <w:gridCol w:w="1054"/>
        <w:gridCol w:w="1184"/>
        <w:gridCol w:w="1054"/>
        <w:gridCol w:w="1184"/>
        <w:gridCol w:w="1052"/>
        <w:gridCol w:w="921"/>
      </w:tblGrid>
      <w:tr w:rsidR="002E184F" w:rsidTr="00CE2AC9">
        <w:trPr>
          <w:trHeight w:val="1160"/>
        </w:trPr>
        <w:tc>
          <w:tcPr>
            <w:tcW w:w="191" w:type="pct"/>
            <w:shd w:val="clear" w:color="auto" w:fill="auto"/>
            <w:vAlign w:val="center"/>
          </w:tcPr>
          <w:p w:rsidR="002E184F" w:rsidRDefault="002939A8">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序号</w:t>
            </w:r>
          </w:p>
        </w:tc>
        <w:tc>
          <w:tcPr>
            <w:tcW w:w="1457" w:type="pct"/>
            <w:shd w:val="clear" w:color="auto" w:fill="auto"/>
            <w:vAlign w:val="center"/>
          </w:tcPr>
          <w:p w:rsidR="002E184F" w:rsidRDefault="002939A8">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项目名称</w:t>
            </w:r>
          </w:p>
        </w:tc>
        <w:tc>
          <w:tcPr>
            <w:tcW w:w="361" w:type="pct"/>
            <w:shd w:val="clear" w:color="auto" w:fill="auto"/>
            <w:vAlign w:val="center"/>
          </w:tcPr>
          <w:p w:rsidR="002E184F" w:rsidRDefault="002939A8">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项目负责人</w:t>
            </w:r>
          </w:p>
        </w:tc>
        <w:tc>
          <w:tcPr>
            <w:tcW w:w="464" w:type="pct"/>
            <w:shd w:val="clear" w:color="auto" w:fill="auto"/>
            <w:vAlign w:val="center"/>
          </w:tcPr>
          <w:p w:rsidR="002E184F" w:rsidRDefault="002939A8">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北京地区成员单位</w:t>
            </w:r>
          </w:p>
        </w:tc>
        <w:tc>
          <w:tcPr>
            <w:tcW w:w="413" w:type="pct"/>
            <w:shd w:val="clear" w:color="auto" w:fill="auto"/>
            <w:vAlign w:val="center"/>
          </w:tcPr>
          <w:p w:rsidR="002E184F" w:rsidRDefault="002939A8">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北京地区负责人</w:t>
            </w:r>
          </w:p>
        </w:tc>
        <w:tc>
          <w:tcPr>
            <w:tcW w:w="464" w:type="pct"/>
            <w:shd w:val="clear" w:color="auto" w:fill="auto"/>
            <w:vAlign w:val="center"/>
          </w:tcPr>
          <w:p w:rsidR="002E184F" w:rsidRDefault="002939A8">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天津地区成员单位</w:t>
            </w:r>
          </w:p>
        </w:tc>
        <w:tc>
          <w:tcPr>
            <w:tcW w:w="413" w:type="pct"/>
            <w:shd w:val="clear" w:color="auto" w:fill="auto"/>
            <w:vAlign w:val="center"/>
          </w:tcPr>
          <w:p w:rsidR="002E184F" w:rsidRDefault="002939A8">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天津地区负责人</w:t>
            </w:r>
          </w:p>
        </w:tc>
        <w:tc>
          <w:tcPr>
            <w:tcW w:w="464" w:type="pct"/>
            <w:shd w:val="clear" w:color="auto" w:fill="auto"/>
            <w:vAlign w:val="center"/>
          </w:tcPr>
          <w:p w:rsidR="002E184F" w:rsidRDefault="002939A8">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河北地区成员单位</w:t>
            </w:r>
          </w:p>
        </w:tc>
        <w:tc>
          <w:tcPr>
            <w:tcW w:w="412" w:type="pct"/>
            <w:shd w:val="clear" w:color="auto" w:fill="auto"/>
            <w:vAlign w:val="center"/>
          </w:tcPr>
          <w:p w:rsidR="002E184F" w:rsidRDefault="002939A8">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河北地区负责人</w:t>
            </w:r>
          </w:p>
        </w:tc>
        <w:tc>
          <w:tcPr>
            <w:tcW w:w="361" w:type="pct"/>
            <w:vAlign w:val="center"/>
          </w:tcPr>
          <w:p w:rsidR="002E184F" w:rsidRDefault="00FD1FBC">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拟</w:t>
            </w:r>
            <w:r w:rsidR="002939A8">
              <w:rPr>
                <w:rFonts w:asciiTheme="minorEastAsia" w:hAnsiTheme="minorEastAsia" w:cs="宋体" w:hint="eastAsia"/>
                <w:bCs/>
                <w:kern w:val="0"/>
                <w:sz w:val="24"/>
                <w:szCs w:val="24"/>
              </w:rPr>
              <w:t>资助经费</w:t>
            </w:r>
          </w:p>
        </w:tc>
      </w:tr>
      <w:tr w:rsidR="002E184F" w:rsidTr="00CE2AC9">
        <w:trPr>
          <w:trHeight w:val="977"/>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457" w:type="pct"/>
            <w:shd w:val="clear" w:color="auto" w:fill="auto"/>
            <w:vAlign w:val="center"/>
          </w:tcPr>
          <w:p w:rsidR="002E184F" w:rsidRDefault="002939A8">
            <w:pPr>
              <w:widowControl/>
              <w:jc w:val="center"/>
              <w:rPr>
                <w:rFonts w:ascii="等线" w:eastAsia="等线" w:hAnsi="等线"/>
                <w:color w:val="000000"/>
                <w:sz w:val="22"/>
              </w:rPr>
            </w:pPr>
            <w:r>
              <w:rPr>
                <w:rFonts w:ascii="等线" w:eastAsia="等线" w:hAnsi="等线" w:hint="eastAsia"/>
                <w:color w:val="000000"/>
                <w:sz w:val="22"/>
              </w:rPr>
              <w:t>结核分枝杆菌复合群群特异新基因的鉴定及其在结核病特异快速诊断中的应用</w:t>
            </w:r>
          </w:p>
        </w:tc>
        <w:tc>
          <w:tcPr>
            <w:tcW w:w="361" w:type="pct"/>
            <w:shd w:val="clear" w:color="auto" w:fill="auto"/>
            <w:vAlign w:val="center"/>
          </w:tcPr>
          <w:p w:rsidR="002E184F" w:rsidRDefault="002939A8">
            <w:pPr>
              <w:widowControl/>
              <w:jc w:val="center"/>
              <w:rPr>
                <w:rFonts w:ascii="等线" w:eastAsia="等线" w:hAnsi="等线"/>
                <w:sz w:val="22"/>
              </w:rPr>
            </w:pPr>
            <w:r>
              <w:rPr>
                <w:rFonts w:ascii="等线" w:eastAsia="等线" w:hAnsi="等线" w:hint="eastAsia"/>
                <w:sz w:val="22"/>
              </w:rPr>
              <w:t>戴二黑</w:t>
            </w:r>
          </w:p>
        </w:tc>
        <w:tc>
          <w:tcPr>
            <w:tcW w:w="464" w:type="pct"/>
            <w:shd w:val="clear" w:color="auto" w:fill="auto"/>
            <w:vAlign w:val="center"/>
          </w:tcPr>
          <w:p w:rsidR="002E184F" w:rsidRDefault="002939A8">
            <w:pPr>
              <w:widowControl/>
              <w:jc w:val="center"/>
              <w:rPr>
                <w:rFonts w:ascii="等线" w:eastAsia="等线" w:hAnsi="等线"/>
                <w:sz w:val="22"/>
              </w:rPr>
            </w:pPr>
            <w:r>
              <w:rPr>
                <w:rFonts w:ascii="等线" w:eastAsia="等线" w:hAnsi="等线" w:hint="eastAsia"/>
                <w:sz w:val="22"/>
              </w:rPr>
              <w:t>北京蛋白质组研究中心</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张瑶</w:t>
            </w:r>
          </w:p>
        </w:tc>
        <w:tc>
          <w:tcPr>
            <w:tcW w:w="464" w:type="pct"/>
            <w:shd w:val="clear" w:color="auto" w:fill="auto"/>
            <w:vAlign w:val="center"/>
          </w:tcPr>
          <w:p w:rsidR="002E184F" w:rsidRDefault="002939A8">
            <w:pPr>
              <w:widowControl/>
              <w:jc w:val="center"/>
              <w:rPr>
                <w:rFonts w:ascii="等线" w:eastAsia="等线" w:hAnsi="等线"/>
                <w:sz w:val="22"/>
              </w:rPr>
            </w:pPr>
            <w:r>
              <w:rPr>
                <w:rFonts w:ascii="等线" w:eastAsia="等线" w:hAnsi="等线" w:hint="eastAsia"/>
                <w:sz w:val="22"/>
              </w:rPr>
              <w:t>天津市海河医院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张丽霞</w:t>
            </w:r>
          </w:p>
        </w:tc>
        <w:tc>
          <w:tcPr>
            <w:tcW w:w="464" w:type="pct"/>
            <w:shd w:val="clear" w:color="auto" w:fill="auto"/>
            <w:vAlign w:val="center"/>
          </w:tcPr>
          <w:p w:rsidR="002E184F" w:rsidRDefault="002939A8">
            <w:pPr>
              <w:widowControl/>
              <w:jc w:val="center"/>
              <w:rPr>
                <w:rFonts w:ascii="等线" w:eastAsia="等线" w:hAnsi="等线"/>
                <w:sz w:val="22"/>
              </w:rPr>
            </w:pPr>
            <w:r>
              <w:rPr>
                <w:rFonts w:ascii="等线" w:eastAsia="等线" w:hAnsi="等线" w:hint="eastAsia"/>
                <w:sz w:val="22"/>
              </w:rPr>
              <w:t>石家庄市第五医院</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戴二黑</w:t>
            </w:r>
          </w:p>
        </w:tc>
        <w:tc>
          <w:tcPr>
            <w:tcW w:w="361" w:type="pct"/>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rsidTr="00CE2AC9">
        <w:trPr>
          <w:trHeight w:val="1274"/>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lncRNA-Kv10.1互作网络诱发宫颈癌发生演化机制及靶向载药系统研究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冯力民</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首都医科大学附属北京天坛医院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冯力民</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天津医科大学肿瘤医院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刘文欣</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河北工业大学</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安海龙</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rsidTr="00CE2AC9">
        <w:trPr>
          <w:trHeight w:val="1251"/>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基于细胞特征/联合药物-最优电场预测模型的TTfields治疗GBM策略优化研究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李文斌</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首都医科大学附属北京天坛医院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李文斌</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天津市环湖医院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姜炜</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河北普尼医疗科技有限公司</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杨浩亮</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trPr>
          <w:trHeight w:val="1503"/>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TNIK在甲状腺乳头状癌中的作用机制和临床应用研究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倪鑫</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首都医科大学附属北京儿童医院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倪鑫</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天津医科大学肿瘤医院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郑向前</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河北医科大学第四医院</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赵瑞力</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rsidTr="00CE2AC9">
        <w:trPr>
          <w:trHeight w:val="1550"/>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5</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儿童呼吸道感染性疾病病原体快速分子诊断及抗菌药物精准治疗研究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申阿东</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首都医科大学附属北京儿童医院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申阿东</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天津市儿童医院（天津大学儿童医院）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徐勇胜</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河北省儿童医院</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尤殿平</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trPr>
          <w:trHeight w:val="1170"/>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建立京津冀地区糖尿病视网膜病变患者眼内液和血浆生物标本库及其代谢标记物研究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于伟泓</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中国医学科学院北京协和医院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于伟泓</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天津医科大学眼科医院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胡博杰</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河北医科大学第二医院</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郝玉华</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rsidTr="00CE2AC9">
        <w:trPr>
          <w:trHeight w:val="1280"/>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息肉状脉络膜血管病变的抗血管内皮生长因子治疗反应性与单核苷酸多态性的相关性研究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陈有信</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中国医学科学院北京协和医院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陈有信</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天津医科大学眼科医院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李志清</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河北医科大学第二医院</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马景学</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rsidTr="00CE2AC9">
        <w:trPr>
          <w:trHeight w:val="987"/>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DNA甲基转移酶3B在高血压诱导主动脉夹层动脉瘤发生过程中的作用和机制研究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樊晓寒</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中国医学科学院阜外医院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樊晓寒</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天津医科大学第二医院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刘彤</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河北医科大学第二医院</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谢瑞芹</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rsidTr="00CE2AC9">
        <w:trPr>
          <w:trHeight w:val="973"/>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iRGD修饰的纳米颗粒递送MCL-1抑制剂在卵巢癌靶向治疗中的机制研究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李斌</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中国医学科学院肿瘤医院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李斌</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天津市中心妇产科医院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胡元晶</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河北医科大学第四医院</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康山</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trPr>
          <w:trHeight w:val="855"/>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基于内镜免疫分子图谱的新辅助放化疗疗效及预后预测模型的食管鳞癌多中心转化研究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薛奇</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中国医学科学院肿瘤医院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薛奇</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天津市肿瘤医院/天津医科大学肿瘤医院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姜宏景</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河北医科大学第四医院</w:t>
            </w:r>
            <w:r w:rsidR="00C67306">
              <w:rPr>
                <w:rFonts w:ascii="等线" w:eastAsia="等线" w:hAnsi="等线"/>
                <w:sz w:val="22"/>
              </w:rPr>
              <w:t xml:space="preserve"> </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刘月平</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trPr>
          <w:trHeight w:val="1128"/>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11</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肝细胞癌PD-1/PD-L1抑制剂治疗中CMTM6的作用及分子机制研究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吕文平</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中国人民解放军总医院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吕文平</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天津医科大学</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张丹芳</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河北大学</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孟明</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trPr>
          <w:trHeight w:val="1271"/>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12</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实时AR跟踪技术在腰椎退变疾病减压手术中应用的关键技术研究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张志成</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中国人民解放军总医院第七医学中心</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张志成</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 xml:space="preserve"> 天津医科大学总医院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宁广智</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河北医科大学第三医院</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王林峰</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trPr>
          <w:trHeight w:val="1005"/>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13</w:t>
            </w:r>
          </w:p>
        </w:tc>
        <w:tc>
          <w:tcPr>
            <w:tcW w:w="1457" w:type="pct"/>
            <w:shd w:val="clear" w:color="auto" w:fill="auto"/>
            <w:noWrap/>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构建肌层浸润性膀胱癌新辅助化疗/免疫治疗分子预测模型</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姚欣</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北京大学第一医院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何志嵩</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天津医科大学肿瘤医院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姚欣</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河北医科大学第四医院</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赵志红</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trPr>
          <w:trHeight w:val="1140"/>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14</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糖尿病视网膜病变生物标记物的筛选及相关机制研究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黄旅珍</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北京大学人民医院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黄旅珍</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天津医科大学总医院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周伟</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河北医科大学第二医院</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王建民</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trPr>
          <w:trHeight w:val="855"/>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15</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T 细胞衰老在高级别浆液性卵巢癌 PD-1 阻断治疗中的作用及机制研究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郭红燕</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北京大学第三医院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郭红燕</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天津医科大学</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邓为民</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河北医科大学第二医院</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黄向华</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trPr>
          <w:trHeight w:val="1135"/>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16</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基于前瞻性队列的食管癌早期预警生物标志物筛选及风险预测研究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何忠虎</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北京市肿瘤防治研究所</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何忠虎</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天津医科大学总医院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张鹏</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华北理工大学附属医院</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徐卫国</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trPr>
          <w:trHeight w:val="975"/>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上消化道癌筛查新型标志物的研发及早期预警模型的优化和应用研究</w:t>
            </w:r>
          </w:p>
        </w:tc>
        <w:tc>
          <w:tcPr>
            <w:tcW w:w="361"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陈万青</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中国医学科学院肿瘤医院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陈万青</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天津医科大学肿瘤医院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陈可欣</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河北医科大学第四医院</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贺宇彤</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trPr>
          <w:trHeight w:val="1035"/>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18</w:t>
            </w:r>
          </w:p>
        </w:tc>
        <w:tc>
          <w:tcPr>
            <w:tcW w:w="1457" w:type="pct"/>
            <w:shd w:val="clear" w:color="auto" w:fill="auto"/>
            <w:noWrap/>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利用精准药物递送体系增强化疗联合免疫治疗新策略对食管癌疗效的研究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贺慧宁</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北京大学</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王坚成</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天津医科大学</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贺慧宁</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河北医科大学第四医院</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汪治宇</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trPr>
          <w:trHeight w:val="795"/>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19</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基于SNP联合尿液组学技术探讨糖尿病肾脏疾病气虚血瘀证及肾浊方干预的精准诊疗研究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李敏</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中国中医科学院广安门医院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李敏</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天津中医药大学第一附属医院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王斌</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河北省沧州中西医结合医院</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张忠勇</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r w:rsidR="002E184F">
        <w:trPr>
          <w:trHeight w:val="1110"/>
        </w:trPr>
        <w:tc>
          <w:tcPr>
            <w:tcW w:w="191" w:type="pct"/>
            <w:shd w:val="clear" w:color="auto" w:fill="auto"/>
            <w:noWrap/>
            <w:vAlign w:val="center"/>
          </w:tcPr>
          <w:p w:rsidR="002E184F" w:rsidRDefault="002939A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w:t>
            </w:r>
          </w:p>
        </w:tc>
        <w:tc>
          <w:tcPr>
            <w:tcW w:w="1457"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基于血管微环境的运脾化浊法干预动脉粥样硬化的临床应用及其机制研究</w:t>
            </w:r>
          </w:p>
        </w:tc>
        <w:tc>
          <w:tcPr>
            <w:tcW w:w="361"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何庆勇</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中国中医科学院广安门医院</w:t>
            </w:r>
          </w:p>
        </w:tc>
        <w:tc>
          <w:tcPr>
            <w:tcW w:w="413"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何庆勇</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天津医科大学</w:t>
            </w:r>
          </w:p>
        </w:tc>
        <w:tc>
          <w:tcPr>
            <w:tcW w:w="413" w:type="pct"/>
            <w:shd w:val="clear" w:color="auto" w:fill="auto"/>
            <w:vAlign w:val="center"/>
          </w:tcPr>
          <w:p w:rsidR="002E184F" w:rsidRDefault="002939A8">
            <w:pPr>
              <w:jc w:val="center"/>
              <w:rPr>
                <w:rFonts w:ascii="等线" w:eastAsia="等线" w:hAnsi="等线"/>
                <w:color w:val="000000"/>
                <w:sz w:val="22"/>
              </w:rPr>
            </w:pPr>
            <w:r>
              <w:rPr>
                <w:rFonts w:ascii="等线" w:eastAsia="等线" w:hAnsi="等线" w:hint="eastAsia"/>
                <w:color w:val="000000"/>
                <w:sz w:val="22"/>
              </w:rPr>
              <w:t>张健</w:t>
            </w:r>
          </w:p>
        </w:tc>
        <w:tc>
          <w:tcPr>
            <w:tcW w:w="464"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河北医科大学</w:t>
            </w:r>
          </w:p>
        </w:tc>
        <w:tc>
          <w:tcPr>
            <w:tcW w:w="412" w:type="pct"/>
            <w:shd w:val="clear" w:color="auto" w:fill="auto"/>
            <w:vAlign w:val="center"/>
          </w:tcPr>
          <w:p w:rsidR="002E184F" w:rsidRDefault="002939A8">
            <w:pPr>
              <w:jc w:val="center"/>
              <w:rPr>
                <w:rFonts w:ascii="等线" w:eastAsia="等线" w:hAnsi="等线"/>
                <w:sz w:val="22"/>
              </w:rPr>
            </w:pPr>
            <w:r>
              <w:rPr>
                <w:rFonts w:ascii="等线" w:eastAsia="等线" w:hAnsi="等线" w:hint="eastAsia"/>
                <w:sz w:val="22"/>
              </w:rPr>
              <w:t>聂磊</w:t>
            </w:r>
          </w:p>
        </w:tc>
        <w:tc>
          <w:tcPr>
            <w:tcW w:w="361" w:type="pct"/>
            <w:vAlign w:val="center"/>
          </w:tcPr>
          <w:p w:rsidR="002E184F" w:rsidRDefault="002939A8">
            <w:pPr>
              <w:jc w:val="center"/>
            </w:pPr>
            <w:r>
              <w:rPr>
                <w:rFonts w:asciiTheme="minorEastAsia" w:hAnsiTheme="minorEastAsia" w:cs="宋体" w:hint="eastAsia"/>
                <w:color w:val="000000"/>
                <w:kern w:val="0"/>
                <w:sz w:val="24"/>
                <w:szCs w:val="24"/>
              </w:rPr>
              <w:t>60</w:t>
            </w:r>
            <w:r>
              <w:rPr>
                <w:rFonts w:asciiTheme="minorEastAsia" w:hAnsiTheme="minorEastAsia" w:cs="宋体" w:hint="eastAsia"/>
                <w:bCs/>
                <w:kern w:val="0"/>
                <w:sz w:val="24"/>
                <w:szCs w:val="24"/>
              </w:rPr>
              <w:t>万</w:t>
            </w:r>
          </w:p>
        </w:tc>
      </w:tr>
    </w:tbl>
    <w:p w:rsidR="002E184F" w:rsidRDefault="002E184F"/>
    <w:p w:rsidR="002E184F" w:rsidRDefault="002E184F">
      <w:pPr>
        <w:rPr>
          <w:rFonts w:ascii="Times New Roman" w:eastAsia="仿宋_GB2312" w:hAnsi="Times New Roman"/>
          <w:bCs/>
          <w:color w:val="000000" w:themeColor="text1"/>
          <w:sz w:val="32"/>
          <w:szCs w:val="32"/>
        </w:rPr>
      </w:pPr>
    </w:p>
    <w:sectPr w:rsidR="002E184F">
      <w:footerReference w:type="default" r:id="rId7"/>
      <w:pgSz w:w="15840" w:h="12240"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57A" w:rsidRDefault="001E657A">
      <w:r>
        <w:separator/>
      </w:r>
    </w:p>
  </w:endnote>
  <w:endnote w:type="continuationSeparator" w:id="0">
    <w:p w:rsidR="001E657A" w:rsidRDefault="001E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84F" w:rsidRDefault="002939A8">
    <w:pPr>
      <w:pStyle w:val="a5"/>
      <w:jc w:val="center"/>
    </w:pPr>
    <w:r>
      <w:fldChar w:fldCharType="begin"/>
    </w:r>
    <w:r>
      <w:instrText xml:space="preserve"> PAGE   \* MERGEFORMAT </w:instrText>
    </w:r>
    <w:r>
      <w:fldChar w:fldCharType="separate"/>
    </w:r>
    <w:r>
      <w:rPr>
        <w:lang w:val="zh-CN"/>
      </w:rPr>
      <w:t>1</w:t>
    </w:r>
    <w:r>
      <w:fldChar w:fldCharType="end"/>
    </w:r>
  </w:p>
  <w:p w:rsidR="002E184F" w:rsidRDefault="002E18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57A" w:rsidRDefault="001E657A">
      <w:r>
        <w:separator/>
      </w:r>
    </w:p>
  </w:footnote>
  <w:footnote w:type="continuationSeparator" w:id="0">
    <w:p w:rsidR="001E657A" w:rsidRDefault="001E6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C31"/>
    <w:rsid w:val="00000D80"/>
    <w:rsid w:val="0000196B"/>
    <w:rsid w:val="00006EE2"/>
    <w:rsid w:val="000100CF"/>
    <w:rsid w:val="00030C18"/>
    <w:rsid w:val="0004384A"/>
    <w:rsid w:val="00053512"/>
    <w:rsid w:val="00070F3A"/>
    <w:rsid w:val="00082BC1"/>
    <w:rsid w:val="000942BB"/>
    <w:rsid w:val="00097F85"/>
    <w:rsid w:val="000A040F"/>
    <w:rsid w:val="000A457B"/>
    <w:rsid w:val="000C1130"/>
    <w:rsid w:val="000C7A75"/>
    <w:rsid w:val="000D26DB"/>
    <w:rsid w:val="000D6448"/>
    <w:rsid w:val="0010167A"/>
    <w:rsid w:val="0010188D"/>
    <w:rsid w:val="00113820"/>
    <w:rsid w:val="00116883"/>
    <w:rsid w:val="00122D12"/>
    <w:rsid w:val="001328A6"/>
    <w:rsid w:val="00134ADF"/>
    <w:rsid w:val="001401C1"/>
    <w:rsid w:val="00144240"/>
    <w:rsid w:val="0015666E"/>
    <w:rsid w:val="00162442"/>
    <w:rsid w:val="001762C8"/>
    <w:rsid w:val="001773E3"/>
    <w:rsid w:val="00182983"/>
    <w:rsid w:val="00185E3D"/>
    <w:rsid w:val="00193032"/>
    <w:rsid w:val="001B2779"/>
    <w:rsid w:val="001B6BB1"/>
    <w:rsid w:val="001D0F51"/>
    <w:rsid w:val="001D3BA2"/>
    <w:rsid w:val="001D52B9"/>
    <w:rsid w:val="001E20E4"/>
    <w:rsid w:val="001E64F9"/>
    <w:rsid w:val="001E657A"/>
    <w:rsid w:val="002012D9"/>
    <w:rsid w:val="00207FE6"/>
    <w:rsid w:val="00214FE3"/>
    <w:rsid w:val="00222637"/>
    <w:rsid w:val="00236FA6"/>
    <w:rsid w:val="00255870"/>
    <w:rsid w:val="00256171"/>
    <w:rsid w:val="002717FF"/>
    <w:rsid w:val="0027592F"/>
    <w:rsid w:val="0029129E"/>
    <w:rsid w:val="002939A8"/>
    <w:rsid w:val="002A5057"/>
    <w:rsid w:val="002B7895"/>
    <w:rsid w:val="002E184F"/>
    <w:rsid w:val="002E6919"/>
    <w:rsid w:val="002E773C"/>
    <w:rsid w:val="002F316C"/>
    <w:rsid w:val="0030342A"/>
    <w:rsid w:val="003200B0"/>
    <w:rsid w:val="0033171F"/>
    <w:rsid w:val="00340BB3"/>
    <w:rsid w:val="003800DA"/>
    <w:rsid w:val="0038198C"/>
    <w:rsid w:val="00386257"/>
    <w:rsid w:val="00386D51"/>
    <w:rsid w:val="003950D0"/>
    <w:rsid w:val="003A41B0"/>
    <w:rsid w:val="003A5636"/>
    <w:rsid w:val="003B70A9"/>
    <w:rsid w:val="003C293C"/>
    <w:rsid w:val="003D0D11"/>
    <w:rsid w:val="003E6C23"/>
    <w:rsid w:val="003F02EF"/>
    <w:rsid w:val="003F40D1"/>
    <w:rsid w:val="0040365C"/>
    <w:rsid w:val="00405A9B"/>
    <w:rsid w:val="00415EF7"/>
    <w:rsid w:val="00433EAF"/>
    <w:rsid w:val="00441253"/>
    <w:rsid w:val="0045649E"/>
    <w:rsid w:val="00457FAF"/>
    <w:rsid w:val="004623D8"/>
    <w:rsid w:val="00475742"/>
    <w:rsid w:val="004801B4"/>
    <w:rsid w:val="00487467"/>
    <w:rsid w:val="00491C4F"/>
    <w:rsid w:val="004A1F0E"/>
    <w:rsid w:val="004A299B"/>
    <w:rsid w:val="004A6E28"/>
    <w:rsid w:val="004B3A6F"/>
    <w:rsid w:val="004C2990"/>
    <w:rsid w:val="004C5980"/>
    <w:rsid w:val="004C5ECA"/>
    <w:rsid w:val="004E4056"/>
    <w:rsid w:val="005150B1"/>
    <w:rsid w:val="00525348"/>
    <w:rsid w:val="005303A7"/>
    <w:rsid w:val="00541FD3"/>
    <w:rsid w:val="005420B8"/>
    <w:rsid w:val="00544C97"/>
    <w:rsid w:val="00571812"/>
    <w:rsid w:val="00574133"/>
    <w:rsid w:val="00581519"/>
    <w:rsid w:val="005C1006"/>
    <w:rsid w:val="005D21C9"/>
    <w:rsid w:val="005E1004"/>
    <w:rsid w:val="005E167A"/>
    <w:rsid w:val="005F2008"/>
    <w:rsid w:val="005F3429"/>
    <w:rsid w:val="006143B7"/>
    <w:rsid w:val="006230D4"/>
    <w:rsid w:val="0062448C"/>
    <w:rsid w:val="00632874"/>
    <w:rsid w:val="00636392"/>
    <w:rsid w:val="00636BDD"/>
    <w:rsid w:val="00637983"/>
    <w:rsid w:val="00675ADD"/>
    <w:rsid w:val="00692254"/>
    <w:rsid w:val="006A1213"/>
    <w:rsid w:val="006B1D81"/>
    <w:rsid w:val="006C3298"/>
    <w:rsid w:val="006D49C7"/>
    <w:rsid w:val="00744580"/>
    <w:rsid w:val="00782C67"/>
    <w:rsid w:val="0079438C"/>
    <w:rsid w:val="00795E7D"/>
    <w:rsid w:val="007A00EC"/>
    <w:rsid w:val="007B35EC"/>
    <w:rsid w:val="007D62A3"/>
    <w:rsid w:val="00812096"/>
    <w:rsid w:val="00813CB8"/>
    <w:rsid w:val="00824356"/>
    <w:rsid w:val="0082563E"/>
    <w:rsid w:val="00831415"/>
    <w:rsid w:val="008371E4"/>
    <w:rsid w:val="008548AE"/>
    <w:rsid w:val="00861621"/>
    <w:rsid w:val="0086272E"/>
    <w:rsid w:val="00866DA6"/>
    <w:rsid w:val="00875AE6"/>
    <w:rsid w:val="008D491C"/>
    <w:rsid w:val="008E2D9B"/>
    <w:rsid w:val="008F5124"/>
    <w:rsid w:val="00902946"/>
    <w:rsid w:val="00903959"/>
    <w:rsid w:val="009055FD"/>
    <w:rsid w:val="0090651B"/>
    <w:rsid w:val="009236E1"/>
    <w:rsid w:val="00963170"/>
    <w:rsid w:val="00965473"/>
    <w:rsid w:val="00970EDE"/>
    <w:rsid w:val="00971105"/>
    <w:rsid w:val="009B652C"/>
    <w:rsid w:val="009D3ECF"/>
    <w:rsid w:val="009D43C7"/>
    <w:rsid w:val="009D790D"/>
    <w:rsid w:val="00A13980"/>
    <w:rsid w:val="00A13E36"/>
    <w:rsid w:val="00A15256"/>
    <w:rsid w:val="00A25CE7"/>
    <w:rsid w:val="00A27F5A"/>
    <w:rsid w:val="00A352A1"/>
    <w:rsid w:val="00A71F28"/>
    <w:rsid w:val="00AC3300"/>
    <w:rsid w:val="00AE2D4F"/>
    <w:rsid w:val="00AF6D22"/>
    <w:rsid w:val="00AF73B2"/>
    <w:rsid w:val="00B03FB3"/>
    <w:rsid w:val="00B0660F"/>
    <w:rsid w:val="00B157A9"/>
    <w:rsid w:val="00B17E34"/>
    <w:rsid w:val="00B23C53"/>
    <w:rsid w:val="00B46F93"/>
    <w:rsid w:val="00B53568"/>
    <w:rsid w:val="00B55860"/>
    <w:rsid w:val="00B55C48"/>
    <w:rsid w:val="00B61AC1"/>
    <w:rsid w:val="00B72371"/>
    <w:rsid w:val="00B84AC9"/>
    <w:rsid w:val="00B947F2"/>
    <w:rsid w:val="00BA0483"/>
    <w:rsid w:val="00BB3C22"/>
    <w:rsid w:val="00BB504A"/>
    <w:rsid w:val="00BD09C6"/>
    <w:rsid w:val="00BE4F07"/>
    <w:rsid w:val="00BF4416"/>
    <w:rsid w:val="00BF5BF9"/>
    <w:rsid w:val="00C00368"/>
    <w:rsid w:val="00C02530"/>
    <w:rsid w:val="00C05B33"/>
    <w:rsid w:val="00C349C3"/>
    <w:rsid w:val="00C67306"/>
    <w:rsid w:val="00C72BC7"/>
    <w:rsid w:val="00C732EC"/>
    <w:rsid w:val="00C93284"/>
    <w:rsid w:val="00CA2C31"/>
    <w:rsid w:val="00CB5C68"/>
    <w:rsid w:val="00CC67B1"/>
    <w:rsid w:val="00CE1DEB"/>
    <w:rsid w:val="00CE2AC9"/>
    <w:rsid w:val="00D11E47"/>
    <w:rsid w:val="00D1681D"/>
    <w:rsid w:val="00D2000E"/>
    <w:rsid w:val="00D22630"/>
    <w:rsid w:val="00D34364"/>
    <w:rsid w:val="00D35B25"/>
    <w:rsid w:val="00D51582"/>
    <w:rsid w:val="00D80483"/>
    <w:rsid w:val="00D87F97"/>
    <w:rsid w:val="00D95488"/>
    <w:rsid w:val="00DB4B70"/>
    <w:rsid w:val="00DB6243"/>
    <w:rsid w:val="00DB7F52"/>
    <w:rsid w:val="00DD2A7E"/>
    <w:rsid w:val="00DD6B7B"/>
    <w:rsid w:val="00DD74F7"/>
    <w:rsid w:val="00DE2A70"/>
    <w:rsid w:val="00DF3BA2"/>
    <w:rsid w:val="00DF72E6"/>
    <w:rsid w:val="00E042F6"/>
    <w:rsid w:val="00E1511C"/>
    <w:rsid w:val="00E25D3C"/>
    <w:rsid w:val="00E37867"/>
    <w:rsid w:val="00E510AB"/>
    <w:rsid w:val="00E57958"/>
    <w:rsid w:val="00E74D9D"/>
    <w:rsid w:val="00E76B78"/>
    <w:rsid w:val="00E822F2"/>
    <w:rsid w:val="00E90235"/>
    <w:rsid w:val="00E9200F"/>
    <w:rsid w:val="00E93E53"/>
    <w:rsid w:val="00EA2683"/>
    <w:rsid w:val="00EC1BA1"/>
    <w:rsid w:val="00EE1D1D"/>
    <w:rsid w:val="00EE32EF"/>
    <w:rsid w:val="00F05E6B"/>
    <w:rsid w:val="00F06674"/>
    <w:rsid w:val="00F17C54"/>
    <w:rsid w:val="00F24F3F"/>
    <w:rsid w:val="00F41C61"/>
    <w:rsid w:val="00F46365"/>
    <w:rsid w:val="00F526C0"/>
    <w:rsid w:val="00F52831"/>
    <w:rsid w:val="00F84F8E"/>
    <w:rsid w:val="00FA5CFE"/>
    <w:rsid w:val="00FB51CC"/>
    <w:rsid w:val="00FD1FBC"/>
    <w:rsid w:val="00FF482F"/>
    <w:rsid w:val="240D01ED"/>
    <w:rsid w:val="36756021"/>
    <w:rsid w:val="3716661B"/>
    <w:rsid w:val="38D52229"/>
    <w:rsid w:val="48F142F5"/>
    <w:rsid w:val="5BB55CEB"/>
    <w:rsid w:val="7C255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A7D7"/>
  <w15:docId w15:val="{88403C4F-C910-4119-A44E-83F59FB1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1"/>
    <w:uiPriority w:val="99"/>
    <w:unhideWhenUsed/>
    <w:pPr>
      <w:tabs>
        <w:tab w:val="center" w:pos="4153"/>
        <w:tab w:val="right" w:pos="8306"/>
      </w:tabs>
      <w:snapToGrid w:val="0"/>
      <w:jc w:val="left"/>
    </w:pPr>
    <w:rPr>
      <w:kern w:val="0"/>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脚 字符"/>
    <w:basedOn w:val="a0"/>
    <w:uiPriority w:val="99"/>
    <w:semiHidden/>
    <w:rPr>
      <w:rFonts w:ascii="Calibri" w:eastAsia="宋体" w:hAnsi="Calibri" w:cs="Times New Roman"/>
      <w:sz w:val="18"/>
      <w:szCs w:val="18"/>
    </w:rPr>
  </w:style>
  <w:style w:type="character" w:customStyle="1" w:styleId="1">
    <w:name w:val="页脚 字符1"/>
    <w:link w:val="a5"/>
    <w:uiPriority w:val="99"/>
    <w:rPr>
      <w:rFonts w:ascii="Calibri" w:eastAsia="宋体" w:hAnsi="Calibri" w:cs="Times New Roman"/>
      <w:kern w:val="0"/>
      <w:sz w:val="18"/>
      <w:szCs w:val="18"/>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7">
    <w:name w:val="页眉 字符"/>
    <w:basedOn w:val="a0"/>
    <w:link w:val="a6"/>
    <w:uiPriority w:val="99"/>
    <w:rPr>
      <w:rFonts w:ascii="Calibri" w:eastAsia="宋体" w:hAnsi="Calibri" w:cs="Times New Roman"/>
      <w:sz w:val="18"/>
      <w:szCs w:val="18"/>
    </w:rPr>
  </w:style>
  <w:style w:type="character" w:customStyle="1" w:styleId="a4">
    <w:name w:val="批注框文本 字符"/>
    <w:basedOn w:val="a0"/>
    <w:link w:val="a3"/>
    <w:uiPriority w:val="99"/>
    <w:semiHidden/>
    <w:rPr>
      <w:rFonts w:ascii="Calibri" w:eastAsia="宋体" w:hAnsi="Calibri" w:cs="Times New Roman"/>
      <w:sz w:val="18"/>
      <w:szCs w:val="18"/>
    </w:rPr>
  </w:style>
  <w:style w:type="character" w:styleId="a9">
    <w:name w:val="Hyperlink"/>
    <w:basedOn w:val="a0"/>
    <w:uiPriority w:val="99"/>
    <w:semiHidden/>
    <w:unhideWhenUsed/>
    <w:rsid w:val="00D20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Wong</dc:creator>
  <cp:lastModifiedBy>webuser</cp:lastModifiedBy>
  <cp:revision>59</cp:revision>
  <cp:lastPrinted>2020-10-13T01:21:00Z</cp:lastPrinted>
  <dcterms:created xsi:type="dcterms:W3CDTF">2020-10-13T10:24:00Z</dcterms:created>
  <dcterms:modified xsi:type="dcterms:W3CDTF">2020-10-22T04:00:00Z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