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bCs/>
          <w:sz w:val="44"/>
          <w:szCs w:val="44"/>
          <w:lang w:eastAsia="zh-CN"/>
        </w:rPr>
      </w:pPr>
    </w:p>
    <w:p>
      <w:pPr>
        <w:spacing w:line="560" w:lineRule="exact"/>
        <w:jc w:val="center"/>
        <w:rPr>
          <w:rFonts w:hint="eastAsia" w:ascii="黑体" w:hAnsi="黑体" w:eastAsia="黑体" w:cs="黑体"/>
          <w:b/>
          <w:bCs/>
          <w:sz w:val="44"/>
          <w:szCs w:val="44"/>
          <w:lang w:eastAsia="zh-CN"/>
        </w:rPr>
      </w:pPr>
      <w:r>
        <w:rPr>
          <w:rFonts w:ascii="黑体" w:hAnsi="黑体" w:eastAsia="黑体" w:cs="黑体"/>
          <w:b/>
          <w:bCs/>
          <w:sz w:val="44"/>
          <w:szCs w:val="44"/>
        </w:rPr>
        <w:t>2021</w:t>
      </w:r>
      <w:r>
        <w:rPr>
          <w:rFonts w:hint="eastAsia" w:ascii="黑体" w:hAnsi="黑体" w:eastAsia="黑体" w:cs="黑体"/>
          <w:b/>
          <w:bCs/>
          <w:sz w:val="44"/>
          <w:szCs w:val="44"/>
        </w:rPr>
        <w:t>年度西城</w:t>
      </w:r>
      <w:r>
        <w:rPr>
          <w:rFonts w:hint="eastAsia" w:ascii="黑体" w:hAnsi="黑体" w:eastAsia="黑体" w:cs="黑体"/>
          <w:b/>
          <w:bCs/>
          <w:sz w:val="44"/>
          <w:szCs w:val="44"/>
          <w:lang w:eastAsia="zh-CN"/>
        </w:rPr>
        <w:t>区财政科技专项</w:t>
      </w:r>
      <w:r>
        <w:rPr>
          <w:rFonts w:hint="eastAsia" w:ascii="黑体" w:hAnsi="黑体" w:eastAsia="黑体" w:cs="黑体"/>
          <w:b/>
          <w:bCs/>
          <w:sz w:val="44"/>
          <w:szCs w:val="44"/>
        </w:rPr>
        <w:t>可持续发展类项目申报指南</w:t>
      </w:r>
      <w:r>
        <w:rPr>
          <w:rFonts w:hint="eastAsia" w:ascii="黑体" w:hAnsi="黑体" w:eastAsia="黑体" w:cs="黑体"/>
          <w:b/>
          <w:bCs/>
          <w:sz w:val="44"/>
          <w:szCs w:val="44"/>
          <w:lang w:val="en-US" w:eastAsia="zh-CN"/>
        </w:rPr>
        <w:t xml:space="preserve"> </w:t>
      </w:r>
    </w:p>
    <w:p>
      <w:pPr>
        <w:spacing w:line="560" w:lineRule="exact"/>
        <w:jc w:val="center"/>
        <w:rPr>
          <w:rFonts w:ascii="仿宋" w:hAnsi="仿宋" w:eastAsia="仿宋" w:cs="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cs="仿宋"/>
          <w:sz w:val="28"/>
          <w:szCs w:val="28"/>
        </w:rPr>
        <w:t>根据《北京市西城区财政科技专项项目管理办法》及《北京市西城区可持续发展类项目实施细则（试行）》的要求，为了更好地推进国家可持续发展先进示范区工作，强化科技创新对区域经济、社会、环境协调发展的引领、支撑作用，促进区域可持续发展能力的全面提升，西城区国家可持续发展先进示范区领导小组办公室，每年在区域内组织实施一批试点、示范项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西城区可持续发展类项目优先支持围绕国家可持续发展能力提升而设立的主题试点、示范任务。重点扶持辖区公共服务部门、企事业单位、社会组织，面向西城区域经济社会环境协同发展的需求，组织开展的地区发展前瞻性研究、惠及民生的先进适用技术集成及科技成果推广应用等类型的公益性或准公益性试点、示范项目。通过可持续发展项目的引导，激发公众参与科技创新和科学实践的活力，全面提升地区可持续发展能力。</w:t>
      </w:r>
    </w:p>
    <w:p>
      <w:pPr>
        <w:pStyle w:val="2"/>
        <w:numPr>
          <w:ilvl w:val="0"/>
          <w:numId w:val="1"/>
        </w:numPr>
      </w:pPr>
      <w:r>
        <w:rPr>
          <w:rFonts w:hint="eastAsia"/>
        </w:rPr>
        <w:t>征集原则</w:t>
      </w:r>
    </w:p>
    <w:p>
      <w:pPr>
        <w:spacing w:line="560" w:lineRule="exact"/>
        <w:ind w:firstLine="557" w:firstLineChars="198"/>
        <w:rPr>
          <w:rFonts w:ascii="仿宋" w:hAnsi="仿宋" w:eastAsia="仿宋" w:cs="仿宋"/>
          <w:sz w:val="28"/>
          <w:szCs w:val="28"/>
        </w:rPr>
      </w:pPr>
      <w:r>
        <w:rPr>
          <w:rFonts w:hint="eastAsia" w:ascii="仿宋" w:hAnsi="仿宋" w:eastAsia="仿宋" w:cs="仿宋"/>
          <w:b/>
          <w:sz w:val="28"/>
          <w:szCs w:val="28"/>
        </w:rPr>
        <w:t>（一）落实国家、市区重要文件精神</w:t>
      </w:r>
      <w:r>
        <w:rPr>
          <w:rFonts w:hint="eastAsia" w:ascii="仿宋" w:hAnsi="仿宋" w:eastAsia="仿宋" w:cs="仿宋"/>
          <w:sz w:val="28"/>
          <w:szCs w:val="28"/>
        </w:rPr>
        <w:t>为贯彻落实十九大精神、《北京城市总体规划</w:t>
      </w:r>
      <w:r>
        <w:rPr>
          <w:rFonts w:ascii="仿宋" w:hAnsi="仿宋" w:eastAsia="仿宋" w:cs="仿宋"/>
          <w:sz w:val="28"/>
          <w:szCs w:val="28"/>
        </w:rPr>
        <w:t>(2016</w:t>
      </w:r>
      <w:r>
        <w:rPr>
          <w:rFonts w:hint="eastAsia" w:ascii="仿宋" w:hAnsi="仿宋" w:eastAsia="仿宋" w:cs="仿宋"/>
          <w:sz w:val="28"/>
          <w:szCs w:val="28"/>
        </w:rPr>
        <w:t>年</w:t>
      </w:r>
      <w:r>
        <w:rPr>
          <w:rFonts w:ascii="仿宋" w:hAnsi="仿宋" w:eastAsia="仿宋" w:cs="仿宋"/>
          <w:sz w:val="28"/>
          <w:szCs w:val="28"/>
        </w:rPr>
        <w:t>—2035</w:t>
      </w:r>
      <w:r>
        <w:rPr>
          <w:rFonts w:hint="eastAsia" w:ascii="仿宋" w:hAnsi="仿宋" w:eastAsia="仿宋" w:cs="仿宋"/>
          <w:sz w:val="28"/>
          <w:szCs w:val="28"/>
        </w:rPr>
        <w:t>年</w:t>
      </w:r>
      <w:r>
        <w:rPr>
          <w:rFonts w:ascii="仿宋" w:hAnsi="仿宋" w:eastAsia="仿宋" w:cs="仿宋"/>
          <w:sz w:val="28"/>
          <w:szCs w:val="28"/>
        </w:rPr>
        <w:t>)</w:t>
      </w:r>
      <w:r>
        <w:rPr>
          <w:rFonts w:hint="eastAsia" w:ascii="仿宋" w:hAnsi="仿宋" w:eastAsia="仿宋" w:cs="仿宋"/>
          <w:sz w:val="28"/>
          <w:szCs w:val="28"/>
        </w:rPr>
        <w:t>》，围绕联合国《</w:t>
      </w:r>
      <w:r>
        <w:rPr>
          <w:rFonts w:ascii="仿宋" w:hAnsi="仿宋" w:eastAsia="仿宋" w:cs="仿宋"/>
          <w:sz w:val="28"/>
          <w:szCs w:val="28"/>
        </w:rPr>
        <w:t xml:space="preserve">2030 </w:t>
      </w:r>
      <w:r>
        <w:rPr>
          <w:rFonts w:hint="eastAsia" w:ascii="仿宋" w:hAnsi="仿宋" w:eastAsia="仿宋" w:cs="仿宋"/>
          <w:sz w:val="28"/>
          <w:szCs w:val="28"/>
        </w:rPr>
        <w:t>年可持续发展议程》目标任务的要求，贯彻执行</w:t>
      </w:r>
      <w:r>
        <w:rPr>
          <w:rFonts w:hint="eastAsia" w:ascii="仿宋" w:hAnsi="仿宋" w:eastAsia="仿宋"/>
          <w:sz w:val="28"/>
          <w:szCs w:val="28"/>
        </w:rPr>
        <w:t>《中国落实</w:t>
      </w:r>
      <w:r>
        <w:rPr>
          <w:rFonts w:ascii="仿宋" w:hAnsi="仿宋" w:eastAsia="仿宋"/>
          <w:sz w:val="28"/>
          <w:szCs w:val="28"/>
        </w:rPr>
        <w:t>2030</w:t>
      </w:r>
      <w:r>
        <w:rPr>
          <w:rFonts w:hint="eastAsia" w:ascii="仿宋" w:hAnsi="仿宋" w:eastAsia="仿宋"/>
          <w:sz w:val="28"/>
          <w:szCs w:val="28"/>
        </w:rPr>
        <w:t>年可持续发展议程创新示范区建设方案》，</w:t>
      </w:r>
      <w:r>
        <w:rPr>
          <w:rFonts w:hint="eastAsia" w:ascii="仿宋" w:hAnsi="仿宋" w:eastAsia="仿宋" w:cs="仿宋"/>
          <w:sz w:val="28"/>
          <w:szCs w:val="28"/>
        </w:rPr>
        <w:t>推动西城区“国家可持续发展先进示范区”建设，在创新发展战略，区域协同发展机制、人口资源环境协调发展模式、科技惠及民生等领域开展试点、示范。</w:t>
      </w:r>
    </w:p>
    <w:p>
      <w:pPr>
        <w:spacing w:line="560" w:lineRule="exact"/>
        <w:ind w:firstLine="557" w:firstLineChars="198"/>
        <w:rPr>
          <w:rFonts w:ascii="仿宋" w:hAnsi="仿宋" w:eastAsia="仿宋"/>
          <w:sz w:val="28"/>
          <w:szCs w:val="28"/>
        </w:rPr>
      </w:pPr>
      <w:r>
        <w:rPr>
          <w:rFonts w:hint="eastAsia" w:ascii="仿宋" w:hAnsi="仿宋" w:eastAsia="仿宋" w:cs="仿宋"/>
          <w:b/>
          <w:sz w:val="28"/>
          <w:szCs w:val="28"/>
        </w:rPr>
        <w:t>（二）支持科技专项对接</w:t>
      </w:r>
      <w:r>
        <w:rPr>
          <w:rFonts w:hint="eastAsia" w:ascii="仿宋" w:hAnsi="仿宋" w:eastAsia="仿宋" w:cs="仿宋"/>
          <w:sz w:val="28"/>
          <w:szCs w:val="28"/>
        </w:rPr>
        <w:t>优先支持国家、北京市、西城区可持续发展重大专项区域试点。</w:t>
      </w:r>
    </w:p>
    <w:p>
      <w:pPr>
        <w:spacing w:line="560" w:lineRule="exact"/>
        <w:ind w:firstLine="557" w:firstLineChars="198"/>
        <w:rPr>
          <w:rFonts w:ascii="仿宋" w:hAnsi="仿宋" w:eastAsia="仿宋" w:cs="仿宋"/>
          <w:color w:val="FF0000"/>
          <w:sz w:val="28"/>
          <w:szCs w:val="28"/>
        </w:rPr>
      </w:pPr>
      <w:r>
        <w:rPr>
          <w:rFonts w:hint="eastAsia" w:ascii="仿宋" w:hAnsi="仿宋" w:eastAsia="仿宋" w:cs="仿宋"/>
          <w:b/>
          <w:sz w:val="28"/>
          <w:szCs w:val="28"/>
        </w:rPr>
        <w:t>（三）聚焦科技创新增进民生福祉</w:t>
      </w:r>
      <w:r>
        <w:rPr>
          <w:rFonts w:hint="eastAsia" w:ascii="仿宋" w:hAnsi="仿宋" w:eastAsia="仿宋" w:cs="仿宋"/>
          <w:sz w:val="28"/>
          <w:szCs w:val="28"/>
        </w:rPr>
        <w:t>以科技手段促进区域经济社会生态协同发展，在区域健康促进、城市安全运行、提升应急处置能力、城市精细化管理、人的全面发展等重点领域支持各类创新主体开发的新技术新产品试点示范。搭建支撑地方经济发展、社会进步和环境保护的技术集成应用载体。</w:t>
      </w:r>
    </w:p>
    <w:p>
      <w:pPr>
        <w:spacing w:line="560" w:lineRule="exact"/>
        <w:ind w:firstLine="557" w:firstLineChars="198"/>
        <w:rPr>
          <w:rFonts w:ascii="仿宋" w:hAnsi="仿宋" w:eastAsia="仿宋" w:cs="仿宋"/>
          <w:sz w:val="28"/>
          <w:szCs w:val="28"/>
          <w:u w:val="none"/>
        </w:rPr>
      </w:pPr>
      <w:r>
        <w:rPr>
          <w:rFonts w:hint="eastAsia" w:ascii="仿宋" w:hAnsi="仿宋" w:eastAsia="仿宋" w:cs="仿宋"/>
          <w:b/>
          <w:sz w:val="28"/>
          <w:szCs w:val="28"/>
        </w:rPr>
        <w:t>（四）促进可持续发展经验分享</w:t>
      </w:r>
      <w:r>
        <w:rPr>
          <w:rFonts w:hint="eastAsia" w:ascii="仿宋" w:hAnsi="仿宋" w:eastAsia="仿宋" w:cs="仿宋"/>
          <w:sz w:val="28"/>
          <w:szCs w:val="28"/>
        </w:rPr>
        <w:t>加强可持续发展模式和经验宣传、推广。加强国内同类地区之间的经验交流和共享。</w:t>
      </w:r>
      <w:r>
        <w:rPr>
          <w:rFonts w:hint="eastAsia" w:ascii="仿宋" w:hAnsi="仿宋" w:eastAsia="仿宋" w:cs="仿宋"/>
          <w:sz w:val="28"/>
          <w:szCs w:val="28"/>
          <w:u w:val="none"/>
        </w:rPr>
        <w:t>鼓励开展国内外可持续发展社区、城市之间的交流与合作。</w:t>
      </w:r>
    </w:p>
    <w:p>
      <w:pPr>
        <w:pStyle w:val="2"/>
      </w:pPr>
      <w:r>
        <w:rPr>
          <w:rFonts w:hint="eastAsia"/>
        </w:rPr>
        <w:t>二、征集方向</w:t>
      </w:r>
    </w:p>
    <w:p>
      <w:pPr>
        <w:spacing w:line="560" w:lineRule="exact"/>
        <w:ind w:firstLine="560" w:firstLineChars="200"/>
        <w:rPr>
          <w:rFonts w:ascii="仿宋" w:hAnsi="仿宋" w:eastAsia="仿宋" w:cs="仿宋"/>
          <w:sz w:val="28"/>
          <w:szCs w:val="28"/>
        </w:rPr>
      </w:pPr>
      <w:r>
        <w:rPr>
          <w:rFonts w:ascii="仿宋" w:hAnsi="仿宋" w:eastAsia="仿宋" w:cs="仿宋"/>
          <w:sz w:val="28"/>
          <w:szCs w:val="28"/>
        </w:rPr>
        <w:t>2021</w:t>
      </w:r>
      <w:r>
        <w:rPr>
          <w:rFonts w:hint="eastAsia" w:ascii="仿宋" w:hAnsi="仿宋" w:eastAsia="仿宋" w:cs="仿宋"/>
          <w:sz w:val="28"/>
          <w:szCs w:val="28"/>
        </w:rPr>
        <w:t>年度西城区可持续发展类项目重点支持方向如下：</w:t>
      </w:r>
    </w:p>
    <w:p>
      <w:pPr>
        <w:spacing w:line="560" w:lineRule="exact"/>
        <w:ind w:firstLine="560" w:firstLineChars="20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p>
    <w:p>
      <w:pPr>
        <w:spacing w:line="560" w:lineRule="exact"/>
        <w:rPr>
          <w:rFonts w:ascii="仿宋" w:hAnsi="仿宋" w:eastAsia="仿宋" w:cs="仿宋"/>
          <w:sz w:val="28"/>
          <w:szCs w:val="28"/>
        </w:rPr>
        <w:sectPr>
          <w:footerReference r:id="rId3" w:type="default"/>
          <w:pgSz w:w="16838" w:h="11906" w:orient="landscape"/>
          <w:pgMar w:top="1134" w:right="1134" w:bottom="1134" w:left="1701" w:header="851" w:footer="992" w:gutter="0"/>
          <w:cols w:space="425" w:num="1"/>
          <w:docGrid w:type="lines" w:linePitch="312" w:charSpace="0"/>
        </w:sectPr>
      </w:pPr>
    </w:p>
    <w:p>
      <w:pPr>
        <w:spacing w:line="560" w:lineRule="exact"/>
        <w:rPr>
          <w:rFonts w:ascii="仿宋" w:hAnsi="仿宋" w:eastAsia="仿宋" w:cs="仿宋"/>
          <w:sz w:val="28"/>
          <w:szCs w:val="28"/>
        </w:rPr>
      </w:pPr>
    </w:p>
    <w:tbl>
      <w:tblPr>
        <w:tblStyle w:val="11"/>
        <w:tblW w:w="13921" w:type="dxa"/>
        <w:jc w:val="center"/>
        <w:tblLayout w:type="autofit"/>
        <w:tblCellMar>
          <w:top w:w="0" w:type="dxa"/>
          <w:left w:w="108" w:type="dxa"/>
          <w:bottom w:w="0" w:type="dxa"/>
          <w:right w:w="108" w:type="dxa"/>
        </w:tblCellMar>
      </w:tblPr>
      <w:tblGrid>
        <w:gridCol w:w="2828"/>
        <w:gridCol w:w="4260"/>
        <w:gridCol w:w="6833"/>
      </w:tblGrid>
      <w:tr>
        <w:tblPrEx>
          <w:tblCellMar>
            <w:top w:w="0" w:type="dxa"/>
            <w:left w:w="108" w:type="dxa"/>
            <w:bottom w:w="0" w:type="dxa"/>
            <w:right w:w="108" w:type="dxa"/>
          </w:tblCellMar>
        </w:tblPrEx>
        <w:trPr>
          <w:cantSplit/>
          <w:trHeight w:val="714" w:hRule="atLeast"/>
          <w:jc w:val="center"/>
        </w:trPr>
        <w:tc>
          <w:tcPr>
            <w:tcW w:w="1392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宋体"/>
                <w:b/>
                <w:kern w:val="0"/>
                <w:sz w:val="32"/>
                <w:szCs w:val="32"/>
              </w:rPr>
            </w:pPr>
            <w:r>
              <w:rPr>
                <w:rFonts w:hint="eastAsia" w:ascii="黑体" w:hAnsi="黑体" w:eastAsia="黑体" w:cs="宋体"/>
                <w:b/>
                <w:kern w:val="0"/>
                <w:sz w:val="32"/>
                <w:szCs w:val="32"/>
              </w:rPr>
              <w:t>一、围绕人口方面</w:t>
            </w:r>
            <w:r>
              <w:rPr>
                <w:rFonts w:ascii="黑体" w:hAnsi="黑体" w:eastAsia="黑体" w:cs="宋体"/>
                <w:b/>
                <w:kern w:val="0"/>
                <w:sz w:val="32"/>
                <w:szCs w:val="32"/>
              </w:rPr>
              <w:t>——</w:t>
            </w:r>
            <w:r>
              <w:rPr>
                <w:rFonts w:hint="eastAsia" w:ascii="黑体" w:hAnsi="黑体" w:eastAsia="黑体" w:cs="宋体"/>
                <w:b/>
                <w:kern w:val="0"/>
                <w:sz w:val="32"/>
                <w:szCs w:val="32"/>
              </w:rPr>
              <w:t>区域健康促进</w:t>
            </w:r>
          </w:p>
        </w:tc>
      </w:tr>
      <w:tr>
        <w:tblPrEx>
          <w:tblCellMar>
            <w:top w:w="0" w:type="dxa"/>
            <w:left w:w="108" w:type="dxa"/>
            <w:bottom w:w="0" w:type="dxa"/>
            <w:right w:w="108" w:type="dxa"/>
          </w:tblCellMar>
        </w:tblPrEx>
        <w:trPr>
          <w:cantSplit/>
          <w:jc w:val="center"/>
        </w:trPr>
        <w:tc>
          <w:tcPr>
            <w:tcW w:w="282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板块</w:t>
            </w:r>
          </w:p>
        </w:tc>
        <w:tc>
          <w:tcPr>
            <w:tcW w:w="4260"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征集方向</w:t>
            </w:r>
          </w:p>
        </w:tc>
        <w:tc>
          <w:tcPr>
            <w:tcW w:w="6833"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征集内容简介</w:t>
            </w:r>
          </w:p>
        </w:tc>
      </w:tr>
      <w:tr>
        <w:tblPrEx>
          <w:tblCellMar>
            <w:top w:w="0" w:type="dxa"/>
            <w:left w:w="108" w:type="dxa"/>
            <w:bottom w:w="0" w:type="dxa"/>
            <w:right w:w="108" w:type="dxa"/>
          </w:tblCellMar>
        </w:tblPrEx>
        <w:trPr>
          <w:cantSplit/>
          <w:jc w:val="center"/>
        </w:trPr>
        <w:tc>
          <w:tcPr>
            <w:tcW w:w="2828" w:type="dxa"/>
            <w:vMerge w:val="restart"/>
            <w:tcBorders>
              <w:top w:val="nil"/>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1.</w:t>
            </w:r>
            <w:r>
              <w:rPr>
                <w:rFonts w:hint="eastAsia" w:ascii="黑体" w:hAnsi="黑体" w:eastAsia="黑体" w:cs="宋体"/>
                <w:b/>
                <w:kern w:val="0"/>
                <w:sz w:val="24"/>
                <w:szCs w:val="24"/>
              </w:rPr>
              <w:t>公共卫生与健康服务</w:t>
            </w:r>
          </w:p>
        </w:tc>
        <w:tc>
          <w:tcPr>
            <w:tcW w:w="4260" w:type="dxa"/>
            <w:tcBorders>
              <w:top w:val="nil"/>
              <w:left w:val="nil"/>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仿宋" w:hAnsi="仿宋" w:eastAsia="仿宋" w:cs="仿宋"/>
                <w:b/>
                <w:bCs/>
                <w:sz w:val="24"/>
                <w:szCs w:val="24"/>
              </w:rPr>
              <w:t>1.1</w:t>
            </w:r>
            <w:r>
              <w:rPr>
                <w:rFonts w:hint="eastAsia" w:ascii="仿宋" w:hAnsi="仿宋" w:eastAsia="仿宋" w:cs="仿宋"/>
                <w:b/>
                <w:bCs/>
                <w:sz w:val="24"/>
                <w:szCs w:val="24"/>
              </w:rPr>
              <w:t>区域人口与健康服务示范</w:t>
            </w:r>
          </w:p>
        </w:tc>
        <w:tc>
          <w:tcPr>
            <w:tcW w:w="6833"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color w:val="FF0000"/>
                <w:sz w:val="24"/>
                <w:szCs w:val="24"/>
              </w:rPr>
            </w:pPr>
            <w:r>
              <w:rPr>
                <w:rFonts w:hint="eastAsia" w:ascii="仿宋" w:hAnsi="仿宋" w:eastAsia="仿宋" w:cs="仿宋"/>
                <w:bCs/>
                <w:sz w:val="24"/>
                <w:szCs w:val="24"/>
              </w:rPr>
              <w:t>持续推进</w:t>
            </w:r>
            <w:r>
              <w:rPr>
                <w:rFonts w:hint="eastAsia" w:ascii="仿宋" w:hAnsi="仿宋" w:eastAsia="仿宋" w:cs="仿宋"/>
                <w:sz w:val="24"/>
                <w:szCs w:val="24"/>
              </w:rPr>
              <w:t>生命全周期健康管理体系建设，开展城市常见病监测体系及关键技术应用。将心理健康纳入生命全程维护体系，推进老年人、未成年人、贫困家庭等特殊群体心理健康干预研究。</w:t>
            </w:r>
          </w:p>
        </w:tc>
      </w:tr>
      <w:tr>
        <w:tblPrEx>
          <w:tblCellMar>
            <w:top w:w="0" w:type="dxa"/>
            <w:left w:w="108" w:type="dxa"/>
            <w:bottom w:w="0" w:type="dxa"/>
            <w:right w:w="108" w:type="dxa"/>
          </w:tblCellMar>
        </w:tblPrEx>
        <w:trPr>
          <w:cantSplit/>
          <w:trHeight w:val="1727" w:hRule="atLeast"/>
          <w:jc w:val="center"/>
        </w:trPr>
        <w:tc>
          <w:tcPr>
            <w:tcW w:w="2828" w:type="dxa"/>
            <w:vMerge w:val="continue"/>
            <w:tcBorders>
              <w:left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p>
        </w:tc>
        <w:tc>
          <w:tcPr>
            <w:tcW w:w="4260" w:type="dxa"/>
            <w:tcBorders>
              <w:top w:val="nil"/>
              <w:left w:val="nil"/>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仿宋" w:hAnsi="仿宋" w:eastAsia="仿宋" w:cs="仿宋"/>
                <w:b/>
                <w:sz w:val="24"/>
                <w:szCs w:val="24"/>
              </w:rPr>
              <w:t>1.2</w:t>
            </w:r>
            <w:r>
              <w:rPr>
                <w:rFonts w:hint="eastAsia" w:ascii="仿宋" w:hAnsi="仿宋" w:eastAsia="仿宋" w:cs="仿宋"/>
                <w:b/>
                <w:sz w:val="24"/>
                <w:szCs w:val="24"/>
              </w:rPr>
              <w:t>推进智慧医疗建设</w:t>
            </w:r>
          </w:p>
        </w:tc>
        <w:tc>
          <w:tcPr>
            <w:tcW w:w="6833" w:type="dxa"/>
            <w:tcBorders>
              <w:top w:val="nil"/>
              <w:left w:val="nil"/>
              <w:right w:val="single" w:color="auto" w:sz="4" w:space="0"/>
            </w:tcBorders>
            <w:vAlign w:val="center"/>
          </w:tcPr>
          <w:p>
            <w:pPr>
              <w:widowControl/>
              <w:spacing w:line="360" w:lineRule="auto"/>
              <w:jc w:val="left"/>
              <w:rPr>
                <w:rFonts w:hint="eastAsia" w:ascii="黑体" w:hAnsi="黑体" w:eastAsia="仿宋" w:cs="宋体"/>
                <w:b/>
                <w:kern w:val="0"/>
                <w:sz w:val="24"/>
                <w:szCs w:val="24"/>
                <w:lang w:val="en-US" w:eastAsia="zh-CN"/>
              </w:rPr>
            </w:pPr>
            <w:r>
              <w:rPr>
                <w:rFonts w:hint="eastAsia" w:ascii="仿宋" w:hAnsi="仿宋" w:eastAsia="仿宋" w:cs="仿宋"/>
                <w:sz w:val="24"/>
                <w:szCs w:val="24"/>
              </w:rPr>
              <w:t>加强区域人口健康信息服务大数据应用，实现医疗卫生资源共享、业务协同和便民惠民服务；推进区域智慧医院建设，实现电子病历系统、管理信息系统、医学影像系统、实验室检验系统的标准化建设全覆盖。</w:t>
            </w:r>
            <w:r>
              <w:rPr>
                <w:rFonts w:hint="eastAsia" w:ascii="仿宋" w:hAnsi="仿宋" w:eastAsia="仿宋" w:cs="仿宋"/>
                <w:color w:val="000000" w:themeColor="text1"/>
                <w:sz w:val="24"/>
                <w:szCs w:val="24"/>
                <w:lang w:eastAsia="zh-CN"/>
                <w14:textFill>
                  <w14:solidFill>
                    <w14:schemeClr w14:val="tx1"/>
                  </w14:solidFill>
                </w14:textFill>
              </w:rPr>
              <w:t>强化大数据手段应用，利用</w:t>
            </w:r>
            <w:r>
              <w:rPr>
                <w:rFonts w:hint="eastAsia" w:ascii="仿宋" w:hAnsi="仿宋" w:eastAsia="仿宋" w:cs="仿宋"/>
                <w:color w:val="000000" w:themeColor="text1"/>
                <w:sz w:val="24"/>
                <w:szCs w:val="24"/>
                <w:lang w:val="en-US" w:eastAsia="zh-CN"/>
                <w14:textFill>
                  <w14:solidFill>
                    <w14:schemeClr w14:val="tx1"/>
                  </w14:solidFill>
                </w14:textFill>
              </w:rPr>
              <w:t>5G 、虚拟现实、人脸识别等新技术，</w:t>
            </w:r>
            <w:r>
              <w:rPr>
                <w:rFonts w:hint="eastAsia" w:ascii="仿宋" w:hAnsi="仿宋" w:eastAsia="仿宋" w:cs="仿宋"/>
                <w:color w:val="000000" w:themeColor="text1"/>
                <w:sz w:val="24"/>
                <w:szCs w:val="24"/>
                <w:lang w:eastAsia="zh-CN"/>
                <w14:textFill>
                  <w14:solidFill>
                    <w14:schemeClr w14:val="tx1"/>
                  </w14:solidFill>
                </w14:textFill>
              </w:rPr>
              <w:t>为</w:t>
            </w:r>
            <w:r>
              <w:rPr>
                <w:rFonts w:hint="eastAsia" w:ascii="仿宋" w:hAnsi="仿宋" w:eastAsia="仿宋" w:cs="仿宋"/>
                <w:bCs/>
                <w:color w:val="000000" w:themeColor="text1"/>
                <w:sz w:val="24"/>
                <w:szCs w:val="24"/>
                <w14:textFill>
                  <w14:solidFill>
                    <w14:schemeClr w14:val="tx1"/>
                  </w14:solidFill>
                </w14:textFill>
              </w:rPr>
              <w:t>疫情防控</w:t>
            </w:r>
            <w:r>
              <w:rPr>
                <w:rFonts w:hint="eastAsia" w:ascii="仿宋" w:hAnsi="仿宋" w:eastAsia="仿宋" w:cs="仿宋"/>
                <w:bCs/>
                <w:color w:val="000000" w:themeColor="text1"/>
                <w:sz w:val="24"/>
                <w:szCs w:val="24"/>
                <w:lang w:eastAsia="zh-CN"/>
                <w14:textFill>
                  <w14:solidFill>
                    <w14:schemeClr w14:val="tx1"/>
                  </w14:solidFill>
                </w14:textFill>
              </w:rPr>
              <w:t>及</w:t>
            </w:r>
            <w:r>
              <w:rPr>
                <w:rFonts w:hint="eastAsia" w:ascii="仿宋" w:hAnsi="仿宋" w:eastAsia="仿宋" w:cs="仿宋"/>
                <w:bCs/>
                <w:color w:val="000000" w:themeColor="text1"/>
                <w:sz w:val="24"/>
                <w:szCs w:val="24"/>
                <w14:textFill>
                  <w14:solidFill>
                    <w14:schemeClr w14:val="tx1"/>
                  </w14:solidFill>
                </w14:textFill>
              </w:rPr>
              <w:t>复工复产</w:t>
            </w:r>
            <w:r>
              <w:rPr>
                <w:rFonts w:hint="eastAsia" w:ascii="仿宋" w:hAnsi="仿宋" w:eastAsia="仿宋" w:cs="仿宋"/>
                <w:bCs/>
                <w:color w:val="000000" w:themeColor="text1"/>
                <w:sz w:val="24"/>
                <w:szCs w:val="24"/>
                <w:lang w:eastAsia="zh-CN"/>
                <w14:textFill>
                  <w14:solidFill>
                    <w14:schemeClr w14:val="tx1"/>
                  </w14:solidFill>
                </w14:textFill>
              </w:rPr>
              <w:t>提供技术支撑。</w:t>
            </w:r>
          </w:p>
        </w:tc>
      </w:tr>
      <w:tr>
        <w:tblPrEx>
          <w:tblCellMar>
            <w:top w:w="0" w:type="dxa"/>
            <w:left w:w="108" w:type="dxa"/>
            <w:bottom w:w="0" w:type="dxa"/>
            <w:right w:w="108" w:type="dxa"/>
          </w:tblCellMar>
        </w:tblPrEx>
        <w:trPr>
          <w:cantSplit/>
          <w:trHeight w:val="1905" w:hRule="atLeast"/>
          <w:jc w:val="center"/>
        </w:trPr>
        <w:tc>
          <w:tcPr>
            <w:tcW w:w="282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2.</w:t>
            </w:r>
            <w:r>
              <w:rPr>
                <w:rFonts w:hint="eastAsia" w:ascii="黑体" w:hAnsi="黑体" w:eastAsia="黑体" w:cs="宋体"/>
                <w:b/>
                <w:kern w:val="0"/>
                <w:sz w:val="24"/>
                <w:szCs w:val="24"/>
              </w:rPr>
              <w:t>医疗保障体系建设</w:t>
            </w:r>
          </w:p>
        </w:tc>
        <w:tc>
          <w:tcPr>
            <w:tcW w:w="4260" w:type="dxa"/>
            <w:tcBorders>
              <w:top w:val="single" w:color="auto" w:sz="4" w:space="0"/>
              <w:left w:val="nil"/>
              <w:bottom w:val="single" w:color="auto" w:sz="4" w:space="0"/>
              <w:right w:val="single" w:color="auto" w:sz="4" w:space="0"/>
            </w:tcBorders>
            <w:vAlign w:val="center"/>
          </w:tcPr>
          <w:p>
            <w:pPr>
              <w:spacing w:line="360" w:lineRule="auto"/>
              <w:rPr>
                <w:rFonts w:ascii="黑体" w:hAnsi="黑体" w:eastAsia="黑体" w:cs="宋体"/>
                <w:b/>
                <w:kern w:val="0"/>
                <w:sz w:val="24"/>
                <w:szCs w:val="24"/>
                <w:u w:val="single"/>
              </w:rPr>
            </w:pPr>
            <w:r>
              <w:rPr>
                <w:rFonts w:ascii="仿宋" w:hAnsi="仿宋" w:eastAsia="仿宋" w:cs="仿宋"/>
                <w:b/>
                <w:bCs/>
                <w:sz w:val="24"/>
                <w:szCs w:val="24"/>
                <w:u w:val="single"/>
              </w:rPr>
              <w:t>2.1</w:t>
            </w:r>
            <w:r>
              <w:rPr>
                <w:rFonts w:hint="eastAsia" w:ascii="仿宋" w:hAnsi="仿宋" w:eastAsia="仿宋" w:cs="仿宋"/>
                <w:b/>
                <w:bCs/>
                <w:sz w:val="24"/>
                <w:szCs w:val="24"/>
                <w:u w:val="single"/>
              </w:rPr>
              <w:t>老年医学、慢病管理监测及干预</w:t>
            </w:r>
          </w:p>
        </w:tc>
        <w:tc>
          <w:tcPr>
            <w:tcW w:w="6833" w:type="dxa"/>
            <w:tcBorders>
              <w:top w:val="single" w:color="auto" w:sz="4" w:space="0"/>
              <w:left w:val="nil"/>
              <w:bottom w:val="single" w:color="auto" w:sz="4" w:space="0"/>
              <w:right w:val="single" w:color="auto" w:sz="4" w:space="0"/>
            </w:tcBorders>
            <w:vAlign w:val="center"/>
          </w:tcPr>
          <w:p>
            <w:pPr>
              <w:pStyle w:val="9"/>
              <w:spacing w:before="0" w:after="0" w:line="460" w:lineRule="exact"/>
              <w:rPr>
                <w:rFonts w:ascii="仿宋" w:hAnsi="仿宋" w:eastAsia="仿宋" w:cs="仿宋"/>
                <w:u w:val="single"/>
              </w:rPr>
            </w:pPr>
            <w:r>
              <w:rPr>
                <w:rFonts w:hint="eastAsia" w:ascii="仿宋" w:hAnsi="仿宋" w:eastAsia="仿宋" w:cs="仿宋"/>
                <w:u w:val="none"/>
              </w:rPr>
              <w:t>扩大社区城市常见病监测及科学干预试点范围，完善以社区为基础的慢性病防控网络，发挥区内三甲医院资源优势与社区开展合作，重点围绕老年人常见疾病开展评估及监测研究，向居民提供健康知识宣讲服务，改善居民健康理念，提升城市健康水平</w:t>
            </w:r>
            <w:r>
              <w:rPr>
                <w:rFonts w:hint="eastAsia" w:ascii="仿宋" w:hAnsi="仿宋" w:eastAsia="仿宋" w:cs="仿宋"/>
                <w:u w:val="single"/>
              </w:rPr>
              <w:t>。</w:t>
            </w:r>
          </w:p>
        </w:tc>
      </w:tr>
      <w:tr>
        <w:tblPrEx>
          <w:tblCellMar>
            <w:top w:w="0" w:type="dxa"/>
            <w:left w:w="108" w:type="dxa"/>
            <w:bottom w:w="0" w:type="dxa"/>
            <w:right w:w="108" w:type="dxa"/>
          </w:tblCellMar>
        </w:tblPrEx>
        <w:trPr>
          <w:cantSplit/>
          <w:trHeight w:val="1266"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nil"/>
              <w:left w:val="nil"/>
              <w:bottom w:val="single" w:color="auto" w:sz="4" w:space="0"/>
              <w:right w:val="single" w:color="auto" w:sz="4" w:space="0"/>
            </w:tcBorders>
            <w:vAlign w:val="center"/>
          </w:tcPr>
          <w:p>
            <w:pPr>
              <w:widowControl/>
              <w:spacing w:line="360" w:lineRule="auto"/>
              <w:rPr>
                <w:rFonts w:ascii="黑体" w:hAnsi="黑体" w:eastAsia="黑体" w:cs="宋体"/>
                <w:b/>
                <w:kern w:val="0"/>
                <w:sz w:val="24"/>
                <w:szCs w:val="24"/>
                <w:highlight w:val="yellow"/>
              </w:rPr>
            </w:pPr>
            <w:r>
              <w:rPr>
                <w:rFonts w:ascii="仿宋" w:hAnsi="仿宋" w:eastAsia="仿宋" w:cs="仿宋"/>
                <w:b/>
                <w:sz w:val="24"/>
                <w:szCs w:val="24"/>
              </w:rPr>
              <w:t>2.2</w:t>
            </w:r>
            <w:r>
              <w:rPr>
                <w:rFonts w:hint="eastAsia" w:ascii="仿宋" w:hAnsi="仿宋" w:eastAsia="仿宋" w:cs="仿宋"/>
                <w:b/>
                <w:sz w:val="24"/>
                <w:szCs w:val="24"/>
              </w:rPr>
              <w:t>中医临床诊疗方法研究</w:t>
            </w:r>
          </w:p>
        </w:tc>
        <w:tc>
          <w:tcPr>
            <w:tcW w:w="6833" w:type="dxa"/>
            <w:tcBorders>
              <w:top w:val="nil"/>
              <w:left w:val="nil"/>
              <w:bottom w:val="single" w:color="auto" w:sz="4" w:space="0"/>
              <w:right w:val="single" w:color="auto" w:sz="4" w:space="0"/>
            </w:tcBorders>
            <w:vAlign w:val="center"/>
          </w:tcPr>
          <w:p>
            <w:pPr>
              <w:pStyle w:val="9"/>
              <w:spacing w:before="0" w:beforeAutospacing="0" w:after="0" w:afterAutospacing="0" w:line="460" w:lineRule="exact"/>
              <w:rPr>
                <w:rFonts w:hint="eastAsia" w:ascii="仿宋" w:hAnsi="仿宋" w:eastAsia="仿宋" w:cs="仿宋"/>
                <w:highlight w:val="yellow"/>
                <w:lang w:val="en-US" w:eastAsia="zh-CN"/>
              </w:rPr>
            </w:pPr>
            <w:r>
              <w:rPr>
                <w:rFonts w:hint="eastAsia" w:ascii="仿宋" w:hAnsi="仿宋" w:eastAsia="仿宋" w:cs="仿宋"/>
              </w:rPr>
              <w:t>弘扬传统医学，推进中医院治未病、康复等特色专科建设，加强中医问题诊断和技术筛选，促进中医药科技成果转化和推广应用，重点支持中医临床诊疗技术和方法研究。</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cantSplit/>
          <w:trHeight w:val="270" w:hRule="atLeast"/>
          <w:jc w:val="center"/>
        </w:trPr>
        <w:tc>
          <w:tcPr>
            <w:tcW w:w="13921" w:type="dxa"/>
            <w:gridSpan w:val="3"/>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32"/>
                <w:szCs w:val="32"/>
              </w:rPr>
              <w:t>二、围绕资源方面</w:t>
            </w:r>
            <w:r>
              <w:rPr>
                <w:rFonts w:ascii="黑体" w:hAnsi="黑体" w:eastAsia="黑体" w:cs="宋体"/>
                <w:b/>
                <w:kern w:val="0"/>
                <w:sz w:val="32"/>
                <w:szCs w:val="32"/>
              </w:rPr>
              <w:t>——</w:t>
            </w:r>
            <w:r>
              <w:rPr>
                <w:rFonts w:hint="eastAsia" w:ascii="黑体" w:hAnsi="黑体" w:eastAsia="黑体" w:cs="宋体"/>
                <w:b/>
                <w:kern w:val="0"/>
                <w:sz w:val="32"/>
                <w:szCs w:val="32"/>
              </w:rPr>
              <w:t>高精尖产业发展</w:t>
            </w:r>
          </w:p>
        </w:tc>
      </w:tr>
      <w:tr>
        <w:tblPrEx>
          <w:tblCellMar>
            <w:top w:w="0" w:type="dxa"/>
            <w:left w:w="108" w:type="dxa"/>
            <w:bottom w:w="0" w:type="dxa"/>
            <w:right w:w="108" w:type="dxa"/>
          </w:tblCellMar>
        </w:tblPrEx>
        <w:trPr>
          <w:cantSplit/>
          <w:trHeight w:val="270" w:hRule="atLeast"/>
          <w:jc w:val="center"/>
        </w:trPr>
        <w:tc>
          <w:tcPr>
            <w:tcW w:w="2828" w:type="dxa"/>
            <w:tcBorders>
              <w:top w:val="nil"/>
              <w:left w:val="single" w:color="auto" w:sz="4" w:space="0"/>
              <w:bottom w:val="single" w:color="000000"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板块</w:t>
            </w:r>
          </w:p>
        </w:tc>
        <w:tc>
          <w:tcPr>
            <w:tcW w:w="4260"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征集方向</w:t>
            </w:r>
          </w:p>
        </w:tc>
        <w:tc>
          <w:tcPr>
            <w:tcW w:w="6833"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征集内容简介</w:t>
            </w:r>
          </w:p>
        </w:tc>
      </w:tr>
      <w:tr>
        <w:tblPrEx>
          <w:tblCellMar>
            <w:top w:w="0" w:type="dxa"/>
            <w:left w:w="108" w:type="dxa"/>
            <w:bottom w:w="0" w:type="dxa"/>
            <w:right w:w="108" w:type="dxa"/>
          </w:tblCellMar>
        </w:tblPrEx>
        <w:trPr>
          <w:cantSplit/>
          <w:trHeight w:val="270" w:hRule="atLeast"/>
          <w:jc w:val="center"/>
        </w:trPr>
        <w:tc>
          <w:tcPr>
            <w:tcW w:w="282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3.</w:t>
            </w:r>
            <w:r>
              <w:rPr>
                <w:rFonts w:hint="eastAsia" w:ascii="黑体" w:hAnsi="黑体" w:eastAsia="黑体" w:cs="宋体"/>
                <w:b/>
                <w:kern w:val="0"/>
                <w:sz w:val="24"/>
                <w:szCs w:val="24"/>
              </w:rPr>
              <w:t>加快科技服务业发展</w:t>
            </w:r>
          </w:p>
        </w:tc>
        <w:tc>
          <w:tcPr>
            <w:tcW w:w="4260" w:type="dxa"/>
            <w:tcBorders>
              <w:top w:val="nil"/>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rPr>
            </w:pPr>
            <w:r>
              <w:rPr>
                <w:rFonts w:ascii="仿宋" w:hAnsi="仿宋" w:eastAsia="仿宋" w:cs="宋体"/>
                <w:b/>
                <w:kern w:val="0"/>
                <w:sz w:val="24"/>
                <w:szCs w:val="24"/>
              </w:rPr>
              <w:t>3.1</w:t>
            </w:r>
            <w:r>
              <w:rPr>
                <w:rFonts w:hint="eastAsia" w:ascii="仿宋" w:hAnsi="仿宋" w:eastAsia="仿宋" w:cs="宋体"/>
                <w:b/>
                <w:kern w:val="0"/>
                <w:sz w:val="24"/>
                <w:szCs w:val="24"/>
              </w:rPr>
              <w:t>西城区科技服务业发展机制探索</w:t>
            </w:r>
          </w:p>
        </w:tc>
        <w:tc>
          <w:tcPr>
            <w:tcW w:w="6833" w:type="dxa"/>
            <w:tcBorders>
              <w:top w:val="nil"/>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rPr>
            </w:pPr>
            <w:r>
              <w:rPr>
                <w:rFonts w:hint="eastAsia" w:ascii="仿宋" w:hAnsi="仿宋" w:eastAsia="仿宋" w:cs="宋体"/>
                <w:kern w:val="0"/>
                <w:sz w:val="24"/>
                <w:szCs w:val="24"/>
              </w:rPr>
              <w:t>支持开展西城区科技服务业发展的机制研究，提出促进创新的体制机制。提升西城区科技服务水平，构建服务首都、辐射全国的网络化、智能化、协同化科技创新服务体系，有效支撑西城区高精尖产业建设。</w:t>
            </w:r>
          </w:p>
        </w:tc>
      </w:tr>
      <w:tr>
        <w:tblPrEx>
          <w:tblCellMar>
            <w:top w:w="0" w:type="dxa"/>
            <w:left w:w="108" w:type="dxa"/>
            <w:bottom w:w="0" w:type="dxa"/>
            <w:right w:w="108" w:type="dxa"/>
          </w:tblCellMar>
        </w:tblPrEx>
        <w:trPr>
          <w:cantSplit/>
          <w:trHeight w:val="270" w:hRule="atLeast"/>
          <w:jc w:val="center"/>
        </w:trPr>
        <w:tc>
          <w:tcPr>
            <w:tcW w:w="282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rPr>
            </w:pPr>
            <w:r>
              <w:rPr>
                <w:rFonts w:ascii="仿宋" w:hAnsi="仿宋" w:eastAsia="仿宋" w:cs="宋体"/>
                <w:b/>
                <w:kern w:val="0"/>
                <w:sz w:val="24"/>
                <w:szCs w:val="24"/>
              </w:rPr>
              <w:t>3.2</w:t>
            </w:r>
            <w:r>
              <w:rPr>
                <w:rFonts w:hint="eastAsia" w:ascii="仿宋" w:hAnsi="仿宋" w:eastAsia="仿宋" w:cs="宋体"/>
                <w:b/>
                <w:kern w:val="0"/>
                <w:sz w:val="24"/>
                <w:szCs w:val="24"/>
              </w:rPr>
              <w:t>推进“设计之都”建设及国际化发展</w:t>
            </w:r>
          </w:p>
          <w:p>
            <w:pPr>
              <w:spacing w:line="460" w:lineRule="exact"/>
              <w:jc w:val="left"/>
              <w:rPr>
                <w:rFonts w:ascii="黑体" w:hAnsi="黑体" w:eastAsia="黑体" w:cs="宋体"/>
                <w:b/>
                <w:kern w:val="0"/>
                <w:sz w:val="24"/>
                <w:szCs w:val="24"/>
              </w:rPr>
            </w:pPr>
          </w:p>
        </w:tc>
        <w:tc>
          <w:tcPr>
            <w:tcW w:w="6833" w:type="dxa"/>
            <w:tcBorders>
              <w:top w:val="nil"/>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rPr>
            </w:pPr>
            <w:r>
              <w:rPr>
                <w:rFonts w:hint="eastAsia" w:ascii="仿宋" w:hAnsi="仿宋" w:eastAsia="仿宋" w:cs="宋体"/>
                <w:kern w:val="0"/>
                <w:sz w:val="24"/>
                <w:szCs w:val="24"/>
              </w:rPr>
              <w:t>加快建设北京设计之都核心区，</w:t>
            </w:r>
            <w:r>
              <w:rPr>
                <w:rFonts w:hint="eastAsia" w:ascii="仿宋" w:hAnsi="仿宋" w:eastAsia="仿宋" w:cs="宋体"/>
                <w:color w:val="000000"/>
                <w:kern w:val="0"/>
                <w:sz w:val="24"/>
                <w:szCs w:val="24"/>
              </w:rPr>
              <w:t>支持国际创意领域交流合作。支持西城区设计企业参与国际标准制订，开展全球设计合作，</w:t>
            </w:r>
            <w:r>
              <w:rPr>
                <w:rFonts w:hint="eastAsia" w:ascii="仿宋" w:hAnsi="仿宋" w:eastAsia="仿宋" w:cs="宋体"/>
                <w:kern w:val="0"/>
                <w:sz w:val="24"/>
                <w:szCs w:val="24"/>
              </w:rPr>
              <w:t>培育国际型服务机构与高端人才，提升科技服务业国际化水平和综合服务能力。</w:t>
            </w:r>
          </w:p>
        </w:tc>
      </w:tr>
      <w:tr>
        <w:tblPrEx>
          <w:tblCellMar>
            <w:top w:w="0" w:type="dxa"/>
            <w:left w:w="108" w:type="dxa"/>
            <w:bottom w:w="0" w:type="dxa"/>
            <w:right w:w="108" w:type="dxa"/>
          </w:tblCellMar>
        </w:tblPrEx>
        <w:trPr>
          <w:cantSplit/>
          <w:trHeight w:val="270" w:hRule="atLeast"/>
          <w:jc w:val="center"/>
        </w:trPr>
        <w:tc>
          <w:tcPr>
            <w:tcW w:w="2828"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4.</w:t>
            </w:r>
            <w:r>
              <w:rPr>
                <w:rFonts w:hint="eastAsia" w:ascii="黑体" w:hAnsi="黑体" w:eastAsia="黑体" w:cs="宋体"/>
                <w:b/>
                <w:kern w:val="0"/>
                <w:sz w:val="24"/>
                <w:szCs w:val="24"/>
              </w:rPr>
              <w:t>深化产业融合创新发展</w:t>
            </w:r>
          </w:p>
        </w:tc>
        <w:tc>
          <w:tcPr>
            <w:tcW w:w="4260" w:type="dxa"/>
            <w:tcBorders>
              <w:top w:val="single" w:color="auto" w:sz="4" w:space="0"/>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u w:val="single"/>
              </w:rPr>
            </w:pPr>
            <w:r>
              <w:rPr>
                <w:rFonts w:ascii="仿宋" w:hAnsi="仿宋" w:eastAsia="仿宋" w:cs="宋体"/>
                <w:b/>
                <w:kern w:val="0"/>
                <w:sz w:val="24"/>
                <w:szCs w:val="24"/>
                <w:u w:val="none"/>
              </w:rPr>
              <w:t>4.1</w:t>
            </w:r>
            <w:r>
              <w:rPr>
                <w:rFonts w:hint="eastAsia" w:ascii="仿宋" w:hAnsi="仿宋" w:eastAsia="仿宋" w:cs="宋体"/>
                <w:b/>
                <w:kern w:val="0"/>
                <w:sz w:val="24"/>
                <w:szCs w:val="24"/>
                <w:u w:val="none"/>
              </w:rPr>
              <w:t>推动文化与科技融合发展</w:t>
            </w:r>
          </w:p>
        </w:tc>
        <w:tc>
          <w:tcPr>
            <w:tcW w:w="6833" w:type="dxa"/>
            <w:tcBorders>
              <w:top w:val="nil"/>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u w:val="single"/>
              </w:rPr>
            </w:pPr>
            <w:r>
              <w:rPr>
                <w:rFonts w:hint="eastAsia" w:ascii="仿宋" w:hAnsi="仿宋" w:eastAsia="仿宋" w:cs="宋体"/>
                <w:kern w:val="0"/>
                <w:sz w:val="24"/>
                <w:szCs w:val="24"/>
                <w:u w:val="none"/>
              </w:rPr>
              <w:t>加强文化领域技术创新，促进物联网、云计算、大数据等新技术与文化融合发展，重点打造以“互联网</w:t>
            </w:r>
            <w:r>
              <w:rPr>
                <w:rFonts w:ascii="仿宋" w:hAnsi="仿宋" w:eastAsia="仿宋" w:cs="宋体"/>
                <w:kern w:val="0"/>
                <w:sz w:val="24"/>
                <w:szCs w:val="24"/>
                <w:u w:val="none"/>
              </w:rPr>
              <w:t>+</w:t>
            </w:r>
            <w:r>
              <w:rPr>
                <w:rFonts w:hint="eastAsia" w:ascii="仿宋" w:hAnsi="仿宋" w:eastAsia="仿宋" w:cs="宋体"/>
                <w:kern w:val="0"/>
                <w:sz w:val="24"/>
                <w:szCs w:val="24"/>
                <w:u w:val="none"/>
              </w:rPr>
              <w:t>”为基础的“科技</w:t>
            </w:r>
            <w:r>
              <w:rPr>
                <w:rFonts w:ascii="仿宋" w:hAnsi="仿宋" w:eastAsia="仿宋" w:cs="宋体"/>
                <w:kern w:val="0"/>
                <w:sz w:val="24"/>
                <w:szCs w:val="24"/>
                <w:u w:val="none"/>
              </w:rPr>
              <w:t>+</w:t>
            </w:r>
            <w:r>
              <w:rPr>
                <w:rFonts w:hint="eastAsia" w:ascii="仿宋" w:hAnsi="仿宋" w:eastAsia="仿宋" w:cs="宋体"/>
                <w:kern w:val="0"/>
                <w:sz w:val="24"/>
                <w:szCs w:val="24"/>
                <w:u w:val="none"/>
              </w:rPr>
              <w:t>文化”融合发展服务体系；深入挖掘西城区历史文化名城的文化内涵和精神价值，推动传统历史文化资源的传播。</w:t>
            </w:r>
          </w:p>
        </w:tc>
      </w:tr>
      <w:tr>
        <w:tblPrEx>
          <w:tblCellMar>
            <w:top w:w="0" w:type="dxa"/>
            <w:left w:w="108" w:type="dxa"/>
            <w:bottom w:w="0" w:type="dxa"/>
            <w:right w:w="108" w:type="dxa"/>
          </w:tblCellMar>
        </w:tblPrEx>
        <w:trPr>
          <w:cantSplit/>
          <w:trHeight w:val="270" w:hRule="atLeast"/>
          <w:jc w:val="center"/>
        </w:trPr>
        <w:tc>
          <w:tcPr>
            <w:tcW w:w="2828"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widowControl/>
              <w:spacing w:line="460" w:lineRule="exact"/>
              <w:jc w:val="left"/>
              <w:rPr>
                <w:rFonts w:ascii="黑体" w:hAnsi="黑体" w:eastAsia="黑体" w:cs="宋体"/>
                <w:b/>
                <w:kern w:val="0"/>
                <w:sz w:val="24"/>
                <w:szCs w:val="24"/>
                <w:highlight w:val="yellow"/>
                <w:u w:val="single"/>
              </w:rPr>
            </w:pPr>
            <w:r>
              <w:rPr>
                <w:rFonts w:ascii="仿宋" w:hAnsi="仿宋" w:eastAsia="仿宋" w:cs="宋体"/>
                <w:b/>
                <w:kern w:val="0"/>
                <w:sz w:val="24"/>
                <w:szCs w:val="24"/>
                <w:u w:val="none"/>
              </w:rPr>
              <w:t>4.2</w:t>
            </w:r>
            <w:r>
              <w:rPr>
                <w:rFonts w:hint="eastAsia" w:ascii="仿宋" w:hAnsi="仿宋" w:eastAsia="仿宋" w:cs="宋体"/>
                <w:b/>
                <w:kern w:val="0"/>
                <w:sz w:val="24"/>
                <w:szCs w:val="24"/>
                <w:u w:val="none"/>
              </w:rPr>
              <w:t>推进金融科技引领</w:t>
            </w:r>
          </w:p>
        </w:tc>
        <w:tc>
          <w:tcPr>
            <w:tcW w:w="6833" w:type="dxa"/>
            <w:tcBorders>
              <w:top w:val="single" w:color="auto" w:sz="4" w:space="0"/>
              <w:left w:val="nil"/>
              <w:bottom w:val="single" w:color="auto" w:sz="4" w:space="0"/>
              <w:right w:val="single" w:color="auto" w:sz="4" w:space="0"/>
            </w:tcBorders>
            <w:vAlign w:val="center"/>
          </w:tcPr>
          <w:p>
            <w:pPr>
              <w:widowControl/>
              <w:spacing w:line="460" w:lineRule="exact"/>
              <w:jc w:val="left"/>
              <w:rPr>
                <w:rFonts w:hint="eastAsia" w:ascii="仿宋" w:hAnsi="仿宋" w:eastAsia="仿宋" w:cs="宋体"/>
                <w:kern w:val="0"/>
                <w:sz w:val="24"/>
                <w:szCs w:val="24"/>
                <w:u w:val="single"/>
                <w:lang w:eastAsia="zh-CN"/>
              </w:rPr>
            </w:pPr>
            <w:r>
              <w:rPr>
                <w:rFonts w:hint="eastAsia" w:ascii="仿宋" w:hAnsi="仿宋" w:eastAsia="仿宋" w:cs="宋体"/>
                <w:color w:val="auto"/>
                <w:kern w:val="0"/>
                <w:sz w:val="24"/>
                <w:szCs w:val="24"/>
                <w:u w:val="none"/>
              </w:rPr>
              <w:t>推进互联网、大数据、云计算等信息技术在金融领域的深度应用和融合创新，</w:t>
            </w:r>
            <w:r>
              <w:rPr>
                <w:rFonts w:hint="eastAsia" w:ascii="仿宋" w:hAnsi="仿宋" w:eastAsia="仿宋" w:cs="宋体"/>
                <w:color w:val="000000" w:themeColor="text1"/>
                <w:kern w:val="0"/>
                <w:sz w:val="24"/>
                <w:szCs w:val="24"/>
                <w:u w:val="none"/>
                <w:lang w:eastAsia="zh-CN"/>
                <w14:textFill>
                  <w14:solidFill>
                    <w14:schemeClr w14:val="tx1"/>
                  </w14:solidFill>
                </w14:textFill>
              </w:rPr>
              <w:t>鼓励</w:t>
            </w:r>
            <w:r>
              <w:rPr>
                <w:rFonts w:hint="eastAsia" w:ascii="仿宋" w:hAnsi="仿宋" w:eastAsia="仿宋" w:cs="宋体"/>
                <w:color w:val="000000" w:themeColor="text1"/>
                <w:kern w:val="0"/>
                <w:sz w:val="24"/>
                <w:szCs w:val="24"/>
                <w:u w:val="none"/>
                <w:lang w:val="en-US" w:eastAsia="zh-CN"/>
                <w14:textFill>
                  <w14:solidFill>
                    <w14:schemeClr w14:val="tx1"/>
                  </w14:solidFill>
                </w14:textFill>
              </w:rPr>
              <w:t xml:space="preserve"> 金融服务民生场景化示范建设。</w:t>
            </w:r>
          </w:p>
        </w:tc>
      </w:tr>
      <w:tr>
        <w:tblPrEx>
          <w:tblCellMar>
            <w:top w:w="0" w:type="dxa"/>
            <w:left w:w="108" w:type="dxa"/>
            <w:bottom w:w="0" w:type="dxa"/>
            <w:right w:w="108" w:type="dxa"/>
          </w:tblCellMar>
        </w:tblPrEx>
        <w:trPr>
          <w:cantSplit/>
          <w:trHeight w:val="698" w:hRule="atLeast"/>
          <w:jc w:val="center"/>
        </w:trPr>
        <w:tc>
          <w:tcPr>
            <w:tcW w:w="1392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宋体"/>
                <w:b/>
                <w:kern w:val="0"/>
                <w:sz w:val="32"/>
                <w:szCs w:val="32"/>
              </w:rPr>
            </w:pPr>
            <w:r>
              <w:rPr>
                <w:rFonts w:hint="eastAsia" w:ascii="黑体" w:hAnsi="黑体" w:eastAsia="黑体" w:cs="宋体"/>
                <w:b/>
                <w:kern w:val="0"/>
                <w:sz w:val="32"/>
                <w:szCs w:val="32"/>
              </w:rPr>
              <w:t>三、围绕环境方面</w:t>
            </w:r>
            <w:r>
              <w:rPr>
                <w:rFonts w:ascii="黑体" w:hAnsi="黑体" w:eastAsia="黑体" w:cs="宋体"/>
                <w:b/>
                <w:kern w:val="0"/>
                <w:sz w:val="32"/>
                <w:szCs w:val="32"/>
              </w:rPr>
              <w:t>——</w:t>
            </w:r>
            <w:r>
              <w:rPr>
                <w:rFonts w:hint="eastAsia" w:ascii="黑体" w:hAnsi="黑体" w:eastAsia="黑体" w:cs="宋体"/>
                <w:b/>
                <w:kern w:val="0"/>
                <w:sz w:val="32"/>
                <w:szCs w:val="32"/>
              </w:rPr>
              <w:t>区域环境提升</w:t>
            </w:r>
          </w:p>
        </w:tc>
      </w:tr>
      <w:tr>
        <w:tblPrEx>
          <w:tblCellMar>
            <w:top w:w="0" w:type="dxa"/>
            <w:left w:w="108" w:type="dxa"/>
            <w:bottom w:w="0" w:type="dxa"/>
            <w:right w:w="108" w:type="dxa"/>
          </w:tblCellMar>
        </w:tblPrEx>
        <w:trPr>
          <w:cantSplit/>
          <w:trHeight w:val="615" w:hRule="atLeast"/>
          <w:jc w:val="center"/>
        </w:trPr>
        <w:tc>
          <w:tcPr>
            <w:tcW w:w="282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板块</w:t>
            </w:r>
          </w:p>
        </w:tc>
        <w:tc>
          <w:tcPr>
            <w:tcW w:w="4260"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征集方向</w:t>
            </w:r>
          </w:p>
        </w:tc>
        <w:tc>
          <w:tcPr>
            <w:tcW w:w="6833" w:type="dxa"/>
            <w:tcBorders>
              <w:top w:val="nil"/>
              <w:left w:val="nil"/>
              <w:bottom w:val="single" w:color="auto" w:sz="4" w:space="0"/>
              <w:right w:val="single" w:color="auto" w:sz="4" w:space="0"/>
            </w:tcBorders>
            <w:vAlign w:val="center"/>
          </w:tcPr>
          <w:p>
            <w:pPr>
              <w:widowControl/>
              <w:spacing w:line="360" w:lineRule="auto"/>
              <w:jc w:val="center"/>
              <w:rPr>
                <w:rFonts w:ascii="黑体" w:hAnsi="黑体" w:eastAsia="黑体" w:cs="宋体"/>
                <w:b/>
                <w:kern w:val="0"/>
                <w:sz w:val="24"/>
                <w:szCs w:val="24"/>
              </w:rPr>
            </w:pPr>
            <w:r>
              <w:rPr>
                <w:rFonts w:hint="eastAsia" w:ascii="黑体" w:hAnsi="黑体" w:eastAsia="黑体" w:cs="宋体"/>
                <w:b/>
                <w:kern w:val="0"/>
                <w:sz w:val="24"/>
                <w:szCs w:val="24"/>
              </w:rPr>
              <w:t>征集内容简介</w:t>
            </w:r>
          </w:p>
        </w:tc>
      </w:tr>
      <w:tr>
        <w:tblPrEx>
          <w:tblCellMar>
            <w:top w:w="0" w:type="dxa"/>
            <w:left w:w="108" w:type="dxa"/>
            <w:bottom w:w="0" w:type="dxa"/>
            <w:right w:w="108" w:type="dxa"/>
          </w:tblCellMar>
        </w:tblPrEx>
        <w:trPr>
          <w:cantSplit/>
          <w:trHeight w:val="270" w:hRule="atLeast"/>
          <w:jc w:val="center"/>
        </w:trPr>
        <w:tc>
          <w:tcPr>
            <w:tcW w:w="2828" w:type="dxa"/>
            <w:vMerge w:val="restart"/>
            <w:tcBorders>
              <w:top w:val="nil"/>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5.</w:t>
            </w:r>
            <w:r>
              <w:rPr>
                <w:rFonts w:hint="eastAsia" w:ascii="黑体" w:hAnsi="黑体" w:eastAsia="黑体" w:cs="宋体"/>
                <w:b/>
                <w:kern w:val="0"/>
                <w:sz w:val="24"/>
                <w:szCs w:val="24"/>
              </w:rPr>
              <w:t>生态文明建设</w:t>
            </w:r>
          </w:p>
        </w:tc>
        <w:tc>
          <w:tcPr>
            <w:tcW w:w="4260"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b/>
                <w:sz w:val="24"/>
                <w:szCs w:val="24"/>
              </w:rPr>
            </w:pPr>
            <w:r>
              <w:rPr>
                <w:rFonts w:ascii="仿宋" w:hAnsi="仿宋" w:eastAsia="仿宋" w:cs="仿宋"/>
                <w:b/>
                <w:sz w:val="24"/>
                <w:szCs w:val="24"/>
              </w:rPr>
              <w:t>5.1</w:t>
            </w:r>
            <w:r>
              <w:rPr>
                <w:rFonts w:hint="eastAsia" w:ascii="仿宋" w:hAnsi="仿宋" w:eastAsia="仿宋" w:cs="仿宋"/>
                <w:b/>
                <w:sz w:val="24"/>
                <w:szCs w:val="24"/>
              </w:rPr>
              <w:t>提升全民生态文明素质</w:t>
            </w:r>
          </w:p>
        </w:tc>
        <w:tc>
          <w:tcPr>
            <w:tcW w:w="6833" w:type="dxa"/>
            <w:tcBorders>
              <w:top w:val="nil"/>
              <w:left w:val="nil"/>
              <w:bottom w:val="single" w:color="auto" w:sz="4" w:space="0"/>
              <w:right w:val="single" w:color="auto" w:sz="4" w:space="0"/>
            </w:tcBorders>
            <w:vAlign w:val="center"/>
          </w:tcPr>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将科普基地建设与环境建设相结合，提高公园绿地的综合利用效率，提升城市空间品质。支持区属公园围绕提升市民科学素养</w:t>
            </w:r>
            <w:r>
              <w:rPr>
                <w:rFonts w:hint="eastAsia" w:ascii="仿宋" w:hAnsi="仿宋" w:eastAsia="仿宋" w:cs="仿宋"/>
                <w:bCs/>
                <w:sz w:val="24"/>
                <w:szCs w:val="24"/>
              </w:rPr>
              <w:t>营造良好的科普生态环境</w:t>
            </w:r>
            <w:r>
              <w:rPr>
                <w:rFonts w:hint="eastAsia" w:ascii="仿宋" w:hAnsi="仿宋" w:eastAsia="仿宋" w:cs="仿宋"/>
                <w:bCs/>
                <w:sz w:val="24"/>
                <w:szCs w:val="24"/>
                <w:u w:val="single"/>
              </w:rPr>
              <w:t>。</w:t>
            </w:r>
            <w:r>
              <w:rPr>
                <w:rFonts w:hint="eastAsia" w:ascii="仿宋" w:hAnsi="仿宋" w:eastAsia="仿宋" w:cs="仿宋"/>
                <w:bCs/>
                <w:sz w:val="24"/>
                <w:szCs w:val="24"/>
                <w:u w:val="none"/>
              </w:rPr>
              <w:t>支持科技创新，</w:t>
            </w:r>
            <w:r>
              <w:rPr>
                <w:rFonts w:hint="eastAsia" w:ascii="仿宋" w:hAnsi="仿宋" w:eastAsia="仿宋" w:cs="仿宋"/>
                <w:sz w:val="24"/>
                <w:szCs w:val="24"/>
                <w:u w:val="none"/>
              </w:rPr>
              <w:t>开展生态环境保护、自然野生动植物相关知识等科普宣传，大力</w:t>
            </w:r>
            <w:r>
              <w:rPr>
                <w:rFonts w:hint="eastAsia" w:ascii="仿宋" w:hAnsi="仿宋" w:eastAsia="仿宋" w:cs="仿宋"/>
                <w:sz w:val="24"/>
                <w:szCs w:val="24"/>
              </w:rPr>
              <w:t>普及生态文明科学知识。</w:t>
            </w:r>
          </w:p>
        </w:tc>
      </w:tr>
      <w:tr>
        <w:tblPrEx>
          <w:tblCellMar>
            <w:top w:w="0" w:type="dxa"/>
            <w:left w:w="108" w:type="dxa"/>
            <w:bottom w:w="0" w:type="dxa"/>
            <w:right w:w="108" w:type="dxa"/>
          </w:tblCellMar>
        </w:tblPrEx>
        <w:trPr>
          <w:cantSplit/>
          <w:trHeight w:val="1884"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
                <w:sz w:val="24"/>
                <w:szCs w:val="24"/>
              </w:rPr>
            </w:pPr>
            <w:r>
              <w:rPr>
                <w:rFonts w:ascii="仿宋" w:hAnsi="仿宋" w:eastAsia="仿宋" w:cs="仿宋"/>
                <w:b/>
                <w:sz w:val="24"/>
                <w:szCs w:val="24"/>
              </w:rPr>
              <w:t>5.2</w:t>
            </w:r>
            <w:r>
              <w:rPr>
                <w:rFonts w:hint="eastAsia" w:ascii="仿宋" w:hAnsi="仿宋" w:eastAsia="仿宋" w:cs="仿宋"/>
                <w:b/>
                <w:sz w:val="24"/>
                <w:szCs w:val="24"/>
              </w:rPr>
              <w:t>全面提升公共文化服务能力</w:t>
            </w:r>
          </w:p>
        </w:tc>
        <w:tc>
          <w:tcPr>
            <w:tcW w:w="683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 w:val="24"/>
                <w:szCs w:val="24"/>
              </w:rPr>
            </w:pPr>
            <w:r>
              <w:rPr>
                <w:rFonts w:hint="eastAsia" w:ascii="仿宋" w:hAnsi="仿宋" w:eastAsia="仿宋" w:cs="仿宋"/>
                <w:sz w:val="24"/>
                <w:szCs w:val="24"/>
              </w:rPr>
              <w:t>落实“</w:t>
            </w:r>
            <w:r>
              <w:rPr>
                <w:rFonts w:ascii="仿宋" w:hAnsi="仿宋" w:eastAsia="仿宋" w:cs="仿宋"/>
                <w:sz w:val="24"/>
                <w:szCs w:val="24"/>
              </w:rPr>
              <w:t>1+3</w:t>
            </w:r>
            <w:r>
              <w:rPr>
                <w:rFonts w:hint="eastAsia" w:ascii="仿宋" w:hAnsi="仿宋" w:eastAsia="仿宋" w:cs="仿宋"/>
                <w:sz w:val="24"/>
                <w:szCs w:val="24"/>
              </w:rPr>
              <w:t>”公共文化政策，完善区、街、街区（社区）三级公共文化服务设施，支持首都公共文化示范区创建工作。扶持特色阅读空间试点建设。</w:t>
            </w:r>
          </w:p>
        </w:tc>
      </w:tr>
      <w:tr>
        <w:tblPrEx>
          <w:tblCellMar>
            <w:top w:w="0" w:type="dxa"/>
            <w:left w:w="108" w:type="dxa"/>
            <w:bottom w:w="0" w:type="dxa"/>
            <w:right w:w="108" w:type="dxa"/>
          </w:tblCellMar>
        </w:tblPrEx>
        <w:trPr>
          <w:cantSplit/>
          <w:trHeight w:val="934"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b/>
                <w:sz w:val="24"/>
                <w:szCs w:val="24"/>
                <w:u w:val="single"/>
              </w:rPr>
            </w:pPr>
            <w:r>
              <w:rPr>
                <w:rFonts w:ascii="仿宋" w:hAnsi="仿宋" w:eastAsia="仿宋" w:cs="仿宋"/>
                <w:b/>
                <w:sz w:val="24"/>
                <w:szCs w:val="24"/>
                <w:u w:val="none"/>
              </w:rPr>
              <w:t>5.3</w:t>
            </w:r>
            <w:r>
              <w:rPr>
                <w:rFonts w:hint="eastAsia" w:ascii="仿宋" w:hAnsi="仿宋" w:eastAsia="仿宋" w:cs="仿宋"/>
                <w:b/>
                <w:sz w:val="24"/>
                <w:szCs w:val="24"/>
                <w:u w:val="none"/>
              </w:rPr>
              <w:t>加强垃圾和城市废弃物管理及综合利用研究</w:t>
            </w:r>
          </w:p>
        </w:tc>
        <w:tc>
          <w:tcPr>
            <w:tcW w:w="6833"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sz w:val="24"/>
                <w:szCs w:val="24"/>
                <w:u w:val="single"/>
              </w:rPr>
            </w:pPr>
            <w:r>
              <w:rPr>
                <w:rFonts w:hint="eastAsia" w:ascii="仿宋" w:hAnsi="仿宋" w:eastAsia="仿宋" w:cs="仿宋"/>
                <w:sz w:val="24"/>
                <w:szCs w:val="24"/>
                <w:u w:val="none"/>
              </w:rPr>
              <w:t>进一步探索城市垃圾“无害化、资源化、减量化”管理及利用模式研究，完善社区垃圾分类收集系统，降低垃圾处理成本，推广生活垃圾处理技术应用。</w:t>
            </w:r>
          </w:p>
        </w:tc>
      </w:tr>
      <w:tr>
        <w:tblPrEx>
          <w:tblCellMar>
            <w:top w:w="0" w:type="dxa"/>
            <w:left w:w="108" w:type="dxa"/>
            <w:bottom w:w="0" w:type="dxa"/>
            <w:right w:w="108" w:type="dxa"/>
          </w:tblCellMar>
        </w:tblPrEx>
        <w:trPr>
          <w:cantSplit/>
          <w:trHeight w:val="1869" w:hRule="atLeast"/>
          <w:jc w:val="center"/>
        </w:trPr>
        <w:tc>
          <w:tcPr>
            <w:tcW w:w="2828" w:type="dxa"/>
            <w:vMerge w:val="restart"/>
            <w:tcBorders>
              <w:top w:val="single" w:color="auto" w:sz="4" w:space="0"/>
              <w:left w:val="single" w:color="auto" w:sz="4" w:space="0"/>
              <w:right w:val="single" w:color="auto" w:sz="4" w:space="0"/>
            </w:tcBorders>
            <w:vAlign w:val="center"/>
          </w:tcPr>
          <w:p>
            <w:pPr>
              <w:spacing w:line="360" w:lineRule="auto"/>
              <w:jc w:val="left"/>
              <w:rPr>
                <w:rFonts w:ascii="黑体" w:hAnsi="黑体" w:eastAsia="黑体" w:cs="宋体"/>
                <w:b/>
                <w:kern w:val="0"/>
                <w:sz w:val="24"/>
                <w:szCs w:val="24"/>
              </w:rPr>
            </w:pPr>
            <w:r>
              <w:rPr>
                <w:rFonts w:ascii="黑体" w:hAnsi="黑体" w:eastAsia="黑体" w:cs="宋体"/>
                <w:b/>
                <w:kern w:val="0"/>
                <w:sz w:val="24"/>
                <w:szCs w:val="24"/>
              </w:rPr>
              <w:t>6.</w:t>
            </w:r>
            <w:r>
              <w:rPr>
                <w:rFonts w:hint="eastAsia" w:ascii="黑体" w:hAnsi="黑体" w:eastAsia="黑体" w:cs="宋体"/>
                <w:b/>
                <w:kern w:val="0"/>
                <w:sz w:val="24"/>
                <w:szCs w:val="24"/>
              </w:rPr>
              <w:t>城市管理与社区建设</w:t>
            </w:r>
          </w:p>
        </w:tc>
        <w:tc>
          <w:tcPr>
            <w:tcW w:w="4260"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黑体" w:hAnsi="黑体" w:eastAsia="黑体" w:cs="宋体"/>
                <w:b/>
                <w:kern w:val="0"/>
                <w:sz w:val="24"/>
                <w:szCs w:val="24"/>
              </w:rPr>
            </w:pPr>
            <w:r>
              <w:rPr>
                <w:rFonts w:ascii="仿宋" w:hAnsi="仿宋" w:eastAsia="仿宋" w:cs="仿宋"/>
                <w:b/>
                <w:sz w:val="24"/>
                <w:szCs w:val="24"/>
              </w:rPr>
              <w:t>6.1</w:t>
            </w:r>
            <w:r>
              <w:rPr>
                <w:rFonts w:hint="eastAsia" w:ascii="仿宋" w:hAnsi="仿宋" w:eastAsia="仿宋" w:cs="仿宋"/>
                <w:b/>
                <w:sz w:val="24"/>
                <w:szCs w:val="24"/>
              </w:rPr>
              <w:t>城市公共安全防范</w:t>
            </w:r>
          </w:p>
        </w:tc>
        <w:tc>
          <w:tcPr>
            <w:tcW w:w="6833"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color w:val="FF0000"/>
                <w:sz w:val="24"/>
                <w:szCs w:val="24"/>
              </w:rPr>
            </w:pPr>
            <w:r>
              <w:rPr>
                <w:rFonts w:hint="eastAsia" w:ascii="仿宋" w:hAnsi="仿宋" w:eastAsia="仿宋" w:cs="仿宋"/>
                <w:sz w:val="24"/>
                <w:szCs w:val="24"/>
              </w:rPr>
              <w:t>进一步完善公共安全管理体制和工作机制。加强安全社区建设，普及安全知识，全面建设安全宜居社区。</w:t>
            </w:r>
            <w:r>
              <w:rPr>
                <w:rFonts w:hint="eastAsia" w:ascii="仿宋" w:hAnsi="仿宋" w:eastAsia="仿宋" w:cs="仿宋"/>
                <w:bCs/>
                <w:color w:val="000000"/>
                <w:sz w:val="24"/>
                <w:szCs w:val="24"/>
              </w:rPr>
              <w:t>加大具有领先水平的新装备新技术在城市治理领域的全面落地应用，增强区域突发事件应急处置水平，全面提升地区应急协同处理能力。</w:t>
            </w:r>
          </w:p>
        </w:tc>
      </w:tr>
      <w:tr>
        <w:tblPrEx>
          <w:tblCellMar>
            <w:top w:w="0" w:type="dxa"/>
            <w:left w:w="108" w:type="dxa"/>
            <w:bottom w:w="0" w:type="dxa"/>
            <w:right w:w="108" w:type="dxa"/>
          </w:tblCellMar>
        </w:tblPrEx>
        <w:trPr>
          <w:cantSplit/>
          <w:trHeight w:val="270" w:hRule="atLeast"/>
          <w:jc w:val="center"/>
        </w:trPr>
        <w:tc>
          <w:tcPr>
            <w:tcW w:w="2828" w:type="dxa"/>
            <w:vMerge w:val="continue"/>
            <w:tcBorders>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b/>
                <w:sz w:val="24"/>
                <w:szCs w:val="24"/>
                <w:u w:val="single"/>
              </w:rPr>
            </w:pPr>
            <w:r>
              <w:rPr>
                <w:rFonts w:ascii="仿宋" w:hAnsi="仿宋" w:eastAsia="仿宋" w:cs="仿宋"/>
                <w:b/>
                <w:sz w:val="24"/>
                <w:szCs w:val="24"/>
                <w:u w:val="none"/>
              </w:rPr>
              <w:t>6.2</w:t>
            </w:r>
            <w:r>
              <w:rPr>
                <w:rFonts w:hint="eastAsia" w:ascii="仿宋" w:hAnsi="仿宋" w:eastAsia="仿宋" w:cs="仿宋"/>
                <w:b/>
                <w:sz w:val="24"/>
                <w:szCs w:val="24"/>
                <w:u w:val="none"/>
              </w:rPr>
              <w:t>加强公共服务能力建设</w:t>
            </w:r>
          </w:p>
        </w:tc>
        <w:tc>
          <w:tcPr>
            <w:tcW w:w="6833"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sz w:val="24"/>
                <w:szCs w:val="24"/>
                <w:u w:val="single"/>
              </w:rPr>
            </w:pPr>
            <w:bookmarkStart w:id="0" w:name="_GoBack"/>
            <w:r>
              <w:rPr>
                <w:rFonts w:hint="eastAsia" w:ascii="仿宋" w:hAnsi="仿宋" w:eastAsia="仿宋" w:cs="仿宋"/>
                <w:bCs/>
                <w:sz w:val="24"/>
                <w:szCs w:val="24"/>
                <w:u w:val="none"/>
              </w:rPr>
              <w:t>推动城市基础装备升级，提升信息基础设施水平。引入</w:t>
            </w:r>
            <w:r>
              <w:rPr>
                <w:rFonts w:ascii="仿宋" w:hAnsi="仿宋" w:eastAsia="仿宋" w:cs="仿宋"/>
                <w:bCs/>
                <w:sz w:val="24"/>
                <w:szCs w:val="24"/>
                <w:u w:val="none"/>
              </w:rPr>
              <w:t>5G</w:t>
            </w:r>
            <w:r>
              <w:rPr>
                <w:rFonts w:hint="eastAsia" w:ascii="仿宋" w:hAnsi="仿宋" w:eastAsia="仿宋" w:cs="仿宋"/>
                <w:bCs/>
                <w:sz w:val="24"/>
                <w:szCs w:val="24"/>
                <w:u w:val="none"/>
              </w:rPr>
              <w:t>、物联网、人工智能、大数据等新一代信息技术产品在教育、医疗、养老、政务等多领域的创新应用。以大数据思维，在有条件的地区推广智</w:t>
            </w:r>
            <w:r>
              <w:rPr>
                <w:rFonts w:hint="eastAsia" w:ascii="仿宋" w:hAnsi="仿宋" w:eastAsia="仿宋" w:cs="仿宋"/>
                <w:sz w:val="24"/>
                <w:szCs w:val="24"/>
                <w:u w:val="none"/>
              </w:rPr>
              <w:t>能家居、智能安防、智能服务示范，为居民提供安全、便利、舒适、宜居的环境。</w:t>
            </w:r>
            <w:bookmarkEnd w:id="0"/>
          </w:p>
        </w:tc>
      </w:tr>
      <w:tr>
        <w:tblPrEx>
          <w:tblCellMar>
            <w:top w:w="0" w:type="dxa"/>
            <w:left w:w="108" w:type="dxa"/>
            <w:bottom w:w="0" w:type="dxa"/>
            <w:right w:w="108" w:type="dxa"/>
          </w:tblCellMar>
        </w:tblPrEx>
        <w:trPr>
          <w:cantSplit/>
          <w:trHeight w:val="270"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b/>
                <w:sz w:val="24"/>
                <w:szCs w:val="24"/>
              </w:rPr>
            </w:pPr>
            <w:r>
              <w:rPr>
                <w:rFonts w:ascii="仿宋" w:hAnsi="仿宋" w:eastAsia="仿宋" w:cs="仿宋"/>
                <w:b/>
                <w:sz w:val="24"/>
                <w:szCs w:val="24"/>
              </w:rPr>
              <w:t>6.3</w:t>
            </w:r>
            <w:r>
              <w:rPr>
                <w:rFonts w:hint="eastAsia" w:ascii="仿宋" w:hAnsi="仿宋" w:eastAsia="仿宋" w:cs="仿宋"/>
                <w:b/>
                <w:sz w:val="24"/>
                <w:szCs w:val="24"/>
              </w:rPr>
              <w:t>破解核心区城市病问题</w:t>
            </w:r>
          </w:p>
        </w:tc>
        <w:tc>
          <w:tcPr>
            <w:tcW w:w="6833"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sz w:val="24"/>
                <w:szCs w:val="24"/>
              </w:rPr>
            </w:pPr>
            <w:r>
              <w:rPr>
                <w:rFonts w:hint="eastAsia" w:ascii="仿宋" w:hAnsi="仿宋" w:eastAsia="仿宋" w:cs="仿宋"/>
                <w:sz w:val="24"/>
                <w:szCs w:val="24"/>
              </w:rPr>
              <w:t>支持针对首都核心区交通拥堵、人口流动密集、环境污染等问题开展的科学研究，及关键技术推广和应用。在大城市病典型区域开展新机制、新技术、新产品试点、示范，并适时向其他区域推广。利用新技术新体制加强监管体制创新，持续推进简政放权、放管结合、优化服务，不断提高政府效能。</w:t>
            </w:r>
          </w:p>
        </w:tc>
      </w:tr>
      <w:tr>
        <w:tblPrEx>
          <w:tblCellMar>
            <w:top w:w="0" w:type="dxa"/>
            <w:left w:w="108" w:type="dxa"/>
            <w:bottom w:w="0" w:type="dxa"/>
            <w:right w:w="108" w:type="dxa"/>
          </w:tblCellMar>
        </w:tblPrEx>
        <w:trPr>
          <w:cantSplit/>
          <w:trHeight w:val="270" w:hRule="atLeast"/>
          <w:jc w:val="center"/>
        </w:trPr>
        <w:tc>
          <w:tcPr>
            <w:tcW w:w="1392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仿宋" w:hAnsi="仿宋" w:eastAsia="仿宋" w:cs="仿宋"/>
                <w:sz w:val="24"/>
                <w:szCs w:val="24"/>
              </w:rPr>
            </w:pPr>
            <w:r>
              <w:rPr>
                <w:rFonts w:hint="eastAsia" w:ascii="黑体" w:hAnsi="黑体" w:eastAsia="黑体" w:cs="宋体"/>
                <w:b/>
                <w:kern w:val="0"/>
                <w:sz w:val="32"/>
                <w:szCs w:val="32"/>
              </w:rPr>
              <w:t>四、围绕能力提升</w:t>
            </w:r>
            <w:r>
              <w:rPr>
                <w:rFonts w:ascii="黑体" w:hAnsi="黑体" w:eastAsia="黑体" w:cs="宋体"/>
                <w:b/>
                <w:kern w:val="0"/>
                <w:sz w:val="32"/>
                <w:szCs w:val="32"/>
              </w:rPr>
              <w:t>——</w:t>
            </w:r>
            <w:r>
              <w:rPr>
                <w:rFonts w:hint="eastAsia" w:ascii="黑体" w:hAnsi="黑体" w:eastAsia="黑体" w:cs="宋体"/>
                <w:b/>
                <w:kern w:val="0"/>
                <w:sz w:val="32"/>
                <w:szCs w:val="32"/>
              </w:rPr>
              <w:t>可持续发展创新能力建设</w:t>
            </w:r>
          </w:p>
        </w:tc>
      </w:tr>
      <w:tr>
        <w:tblPrEx>
          <w:tblCellMar>
            <w:top w:w="0" w:type="dxa"/>
            <w:left w:w="108" w:type="dxa"/>
            <w:bottom w:w="0" w:type="dxa"/>
            <w:right w:w="108" w:type="dxa"/>
          </w:tblCellMar>
        </w:tblPrEx>
        <w:trPr>
          <w:cantSplit/>
          <w:trHeight w:val="270" w:hRule="atLeast"/>
          <w:jc w:val="center"/>
        </w:trPr>
        <w:tc>
          <w:tcPr>
            <w:tcW w:w="282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7.</w:t>
            </w:r>
            <w:r>
              <w:rPr>
                <w:rFonts w:hint="eastAsia" w:ascii="黑体" w:hAnsi="黑体" w:eastAsia="黑体" w:cs="宋体"/>
                <w:b/>
                <w:kern w:val="0"/>
                <w:sz w:val="24"/>
                <w:szCs w:val="24"/>
              </w:rPr>
              <w:t>可持续发展能力建设</w:t>
            </w:r>
          </w:p>
        </w:tc>
        <w:tc>
          <w:tcPr>
            <w:tcW w:w="4260" w:type="dxa"/>
            <w:tcBorders>
              <w:top w:val="nil"/>
              <w:left w:val="nil"/>
              <w:bottom w:val="single" w:color="auto" w:sz="4" w:space="0"/>
              <w:right w:val="single" w:color="auto" w:sz="4" w:space="0"/>
            </w:tcBorders>
            <w:vAlign w:val="center"/>
          </w:tcPr>
          <w:p>
            <w:pPr>
              <w:snapToGrid w:val="0"/>
              <w:spacing w:line="460" w:lineRule="exact"/>
              <w:jc w:val="left"/>
              <w:rPr>
                <w:rFonts w:ascii="仿宋" w:hAnsi="仿宋" w:eastAsia="仿宋" w:cs="仿宋"/>
                <w:b/>
                <w:sz w:val="24"/>
                <w:szCs w:val="24"/>
              </w:rPr>
            </w:pPr>
            <w:r>
              <w:rPr>
                <w:rFonts w:ascii="仿宋" w:hAnsi="仿宋" w:eastAsia="仿宋" w:cs="仿宋"/>
                <w:b/>
                <w:sz w:val="24"/>
                <w:szCs w:val="24"/>
              </w:rPr>
              <w:t>7.1</w:t>
            </w:r>
            <w:r>
              <w:rPr>
                <w:rFonts w:hint="eastAsia" w:ascii="仿宋" w:hAnsi="仿宋" w:eastAsia="仿宋" w:cs="仿宋"/>
                <w:b/>
                <w:sz w:val="24"/>
                <w:szCs w:val="24"/>
              </w:rPr>
              <w:t>促进典型经验和模式分享</w:t>
            </w:r>
          </w:p>
        </w:tc>
        <w:tc>
          <w:tcPr>
            <w:tcW w:w="6833" w:type="dxa"/>
            <w:tcBorders>
              <w:top w:val="nil"/>
              <w:left w:val="nil"/>
              <w:bottom w:val="single" w:color="auto" w:sz="4" w:space="0"/>
              <w:right w:val="single" w:color="auto" w:sz="4" w:space="0"/>
            </w:tcBorders>
            <w:vAlign w:val="center"/>
          </w:tcPr>
          <w:p>
            <w:pPr>
              <w:snapToGrid w:val="0"/>
              <w:spacing w:line="460" w:lineRule="exact"/>
              <w:jc w:val="left"/>
              <w:rPr>
                <w:rFonts w:ascii="仿宋" w:hAnsi="仿宋" w:eastAsia="仿宋" w:cs="仿宋"/>
                <w:sz w:val="24"/>
                <w:szCs w:val="24"/>
              </w:rPr>
            </w:pPr>
            <w:r>
              <w:rPr>
                <w:rFonts w:hint="eastAsia" w:ascii="仿宋" w:hAnsi="仿宋" w:eastAsia="仿宋" w:cs="仿宋"/>
                <w:sz w:val="24"/>
                <w:szCs w:val="24"/>
              </w:rPr>
              <w:t>加强可持续发展模式和经验宣传、推广。加强国内同类地区之间的经验交流和共享。鼓励开展国内外可持续发展社区、城市之间的交流与合作。</w:t>
            </w:r>
          </w:p>
        </w:tc>
      </w:tr>
      <w:tr>
        <w:tblPrEx>
          <w:tblCellMar>
            <w:top w:w="0" w:type="dxa"/>
            <w:left w:w="108" w:type="dxa"/>
            <w:bottom w:w="0" w:type="dxa"/>
            <w:right w:w="108" w:type="dxa"/>
          </w:tblCellMar>
        </w:tblPrEx>
        <w:trPr>
          <w:cantSplit/>
          <w:trHeight w:val="270"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nil"/>
              <w:left w:val="nil"/>
              <w:bottom w:val="single" w:color="auto" w:sz="4" w:space="0"/>
              <w:right w:val="single" w:color="auto" w:sz="4" w:space="0"/>
            </w:tcBorders>
            <w:vAlign w:val="center"/>
          </w:tcPr>
          <w:p>
            <w:pPr>
              <w:snapToGrid w:val="0"/>
              <w:spacing w:line="460" w:lineRule="exact"/>
              <w:jc w:val="left"/>
              <w:rPr>
                <w:rFonts w:ascii="仿宋" w:hAnsi="仿宋" w:eastAsia="仿宋" w:cs="仿宋"/>
                <w:b/>
                <w:sz w:val="24"/>
                <w:szCs w:val="24"/>
              </w:rPr>
            </w:pPr>
            <w:r>
              <w:rPr>
                <w:rFonts w:ascii="仿宋" w:hAnsi="仿宋" w:eastAsia="仿宋" w:cs="仿宋"/>
                <w:b/>
                <w:sz w:val="24"/>
                <w:szCs w:val="24"/>
              </w:rPr>
              <w:t>7.2</w:t>
            </w:r>
            <w:r>
              <w:rPr>
                <w:rFonts w:hint="eastAsia" w:ascii="仿宋" w:hAnsi="仿宋" w:eastAsia="仿宋" w:cs="仿宋"/>
                <w:b/>
                <w:sz w:val="24"/>
                <w:szCs w:val="24"/>
              </w:rPr>
              <w:t>加强创新驱动可持续发展机制探索</w:t>
            </w:r>
          </w:p>
        </w:tc>
        <w:tc>
          <w:tcPr>
            <w:tcW w:w="6833" w:type="dxa"/>
            <w:tcBorders>
              <w:top w:val="nil"/>
              <w:left w:val="nil"/>
              <w:bottom w:val="single" w:color="auto" w:sz="4" w:space="0"/>
              <w:right w:val="single" w:color="auto" w:sz="4" w:space="0"/>
            </w:tcBorders>
            <w:vAlign w:val="center"/>
          </w:tcPr>
          <w:p>
            <w:pPr>
              <w:snapToGrid w:val="0"/>
              <w:spacing w:line="460" w:lineRule="exact"/>
              <w:jc w:val="left"/>
              <w:rPr>
                <w:rFonts w:ascii="仿宋" w:hAnsi="仿宋" w:eastAsia="仿宋" w:cs="仿宋"/>
                <w:sz w:val="24"/>
                <w:szCs w:val="24"/>
              </w:rPr>
            </w:pPr>
            <w:r>
              <w:rPr>
                <w:rFonts w:hint="eastAsia" w:ascii="仿宋" w:hAnsi="仿宋" w:eastAsia="仿宋" w:cs="仿宋"/>
                <w:sz w:val="24"/>
                <w:szCs w:val="24"/>
              </w:rPr>
              <w:t>支持围绕西城区国家可持续发展先进示范区的重点工作，开展创新政府治理体系和促进治理现代化机制探索。整合汇聚创新资源，促进西城区国家可持续发展先进示范区工作。</w:t>
            </w:r>
          </w:p>
        </w:tc>
      </w:tr>
      <w:tr>
        <w:tblPrEx>
          <w:tblCellMar>
            <w:top w:w="0" w:type="dxa"/>
            <w:left w:w="108" w:type="dxa"/>
            <w:bottom w:w="0" w:type="dxa"/>
            <w:right w:w="108" w:type="dxa"/>
          </w:tblCellMar>
        </w:tblPrEx>
        <w:trPr>
          <w:cantSplit/>
          <w:trHeight w:val="1975" w:hRule="atLeast"/>
          <w:jc w:val="center"/>
        </w:trPr>
        <w:tc>
          <w:tcPr>
            <w:tcW w:w="2828" w:type="dxa"/>
            <w:vMerge w:val="restart"/>
            <w:tcBorders>
              <w:top w:val="single" w:color="auto" w:sz="4" w:space="0"/>
              <w:left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r>
              <w:rPr>
                <w:rFonts w:ascii="黑体" w:hAnsi="黑体" w:eastAsia="黑体" w:cs="宋体"/>
                <w:b/>
                <w:kern w:val="0"/>
                <w:sz w:val="24"/>
                <w:szCs w:val="24"/>
              </w:rPr>
              <w:t>8.</w:t>
            </w:r>
            <w:r>
              <w:rPr>
                <w:rFonts w:hint="eastAsia" w:ascii="黑体" w:hAnsi="黑体" w:eastAsia="黑体" w:cs="宋体"/>
                <w:b/>
                <w:kern w:val="0"/>
                <w:sz w:val="24"/>
                <w:szCs w:val="24"/>
              </w:rPr>
              <w:t>可持续发展创新示范</w:t>
            </w:r>
          </w:p>
        </w:tc>
        <w:tc>
          <w:tcPr>
            <w:tcW w:w="4260"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仿宋"/>
                <w:b/>
                <w:sz w:val="24"/>
                <w:szCs w:val="24"/>
              </w:rPr>
            </w:pPr>
            <w:r>
              <w:rPr>
                <w:rFonts w:ascii="仿宋" w:hAnsi="仿宋" w:eastAsia="仿宋" w:cs="宋体"/>
                <w:b/>
                <w:kern w:val="0"/>
                <w:sz w:val="24"/>
                <w:szCs w:val="24"/>
              </w:rPr>
              <w:t>8.1</w:t>
            </w:r>
            <w:r>
              <w:rPr>
                <w:rFonts w:hint="eastAsia" w:ascii="仿宋" w:hAnsi="仿宋" w:eastAsia="仿宋" w:cs="宋体"/>
                <w:b/>
                <w:kern w:val="0"/>
                <w:sz w:val="24"/>
                <w:szCs w:val="24"/>
              </w:rPr>
              <w:t>落实可持续发展议程</w:t>
            </w:r>
          </w:p>
        </w:tc>
        <w:tc>
          <w:tcPr>
            <w:tcW w:w="6833" w:type="dxa"/>
            <w:tcBorders>
              <w:top w:val="single" w:color="auto" w:sz="4" w:space="0"/>
              <w:left w:val="nil"/>
              <w:bottom w:val="single" w:color="auto" w:sz="4" w:space="0"/>
              <w:right w:val="single" w:color="auto" w:sz="4" w:space="0"/>
            </w:tcBorders>
          </w:tcPr>
          <w:p>
            <w:pPr>
              <w:snapToGrid w:val="0"/>
              <w:spacing w:line="460" w:lineRule="exact"/>
              <w:jc w:val="left"/>
              <w:rPr>
                <w:rFonts w:ascii="仿宋" w:hAnsi="仿宋" w:eastAsia="仿宋" w:cs="宋体"/>
                <w:kern w:val="0"/>
                <w:sz w:val="24"/>
                <w:szCs w:val="24"/>
              </w:rPr>
            </w:pPr>
            <w:r>
              <w:rPr>
                <w:rFonts w:hint="eastAsia" w:ascii="仿宋" w:hAnsi="仿宋" w:eastAsia="仿宋" w:cs="宋体"/>
                <w:kern w:val="0"/>
                <w:sz w:val="24"/>
                <w:szCs w:val="24"/>
              </w:rPr>
              <w:t>落实联合国《</w:t>
            </w:r>
            <w:r>
              <w:rPr>
                <w:rFonts w:ascii="仿宋" w:hAnsi="仿宋" w:eastAsia="仿宋" w:cs="宋体"/>
                <w:kern w:val="0"/>
                <w:sz w:val="24"/>
                <w:szCs w:val="24"/>
              </w:rPr>
              <w:t xml:space="preserve">2030 </w:t>
            </w:r>
            <w:r>
              <w:rPr>
                <w:rFonts w:hint="eastAsia" w:ascii="仿宋" w:hAnsi="仿宋" w:eastAsia="仿宋" w:cs="宋体"/>
                <w:kern w:val="0"/>
                <w:sz w:val="24"/>
                <w:szCs w:val="24"/>
              </w:rPr>
              <w:t>年可持续发展议程》目标任务的要求，结合国家、北京市相关文件精神，研究西城区国家可持续发展先进示范区未来发展问题，推动西城区“国家可持续发展先进示范区”建设，开展相关研究。</w:t>
            </w:r>
          </w:p>
        </w:tc>
      </w:tr>
      <w:tr>
        <w:tblPrEx>
          <w:tblCellMar>
            <w:top w:w="0" w:type="dxa"/>
            <w:left w:w="108" w:type="dxa"/>
            <w:bottom w:w="0" w:type="dxa"/>
            <w:right w:w="108" w:type="dxa"/>
          </w:tblCellMar>
        </w:tblPrEx>
        <w:trPr>
          <w:cantSplit/>
          <w:trHeight w:val="1653" w:hRule="atLeast"/>
          <w:jc w:val="center"/>
        </w:trPr>
        <w:tc>
          <w:tcPr>
            <w:tcW w:w="2828"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黑体" w:hAnsi="黑体" w:eastAsia="黑体" w:cs="宋体"/>
                <w:b/>
                <w:kern w:val="0"/>
                <w:sz w:val="24"/>
                <w:szCs w:val="24"/>
              </w:rPr>
            </w:pPr>
          </w:p>
        </w:tc>
        <w:tc>
          <w:tcPr>
            <w:tcW w:w="4260" w:type="dxa"/>
            <w:tcBorders>
              <w:top w:val="single" w:color="auto" w:sz="4" w:space="0"/>
              <w:left w:val="nil"/>
              <w:bottom w:val="single" w:color="auto" w:sz="4" w:space="0"/>
              <w:right w:val="single" w:color="auto" w:sz="4" w:space="0"/>
            </w:tcBorders>
            <w:vAlign w:val="center"/>
          </w:tcPr>
          <w:p>
            <w:pPr>
              <w:snapToGrid w:val="0"/>
              <w:spacing w:line="460" w:lineRule="exact"/>
              <w:jc w:val="left"/>
              <w:rPr>
                <w:rFonts w:ascii="仿宋" w:hAnsi="仿宋" w:eastAsia="仿宋" w:cs="宋体"/>
                <w:b/>
                <w:kern w:val="0"/>
                <w:sz w:val="24"/>
                <w:szCs w:val="24"/>
              </w:rPr>
            </w:pPr>
            <w:r>
              <w:rPr>
                <w:rFonts w:ascii="仿宋" w:hAnsi="仿宋" w:eastAsia="仿宋" w:cs="宋体"/>
                <w:b/>
                <w:kern w:val="0"/>
                <w:sz w:val="24"/>
                <w:szCs w:val="24"/>
              </w:rPr>
              <w:t>8.2</w:t>
            </w:r>
            <w:r>
              <w:rPr>
                <w:rFonts w:hint="eastAsia" w:ascii="仿宋" w:hAnsi="仿宋" w:eastAsia="仿宋" w:cs="宋体"/>
                <w:b/>
                <w:kern w:val="0"/>
                <w:sz w:val="24"/>
                <w:szCs w:val="24"/>
              </w:rPr>
              <w:t>科技专项对接</w:t>
            </w:r>
          </w:p>
        </w:tc>
        <w:tc>
          <w:tcPr>
            <w:tcW w:w="6833" w:type="dxa"/>
            <w:tcBorders>
              <w:top w:val="single" w:color="auto" w:sz="4" w:space="0"/>
              <w:left w:val="nil"/>
              <w:bottom w:val="single" w:color="auto" w:sz="4" w:space="0"/>
              <w:right w:val="single" w:color="auto" w:sz="4" w:space="0"/>
            </w:tcBorders>
          </w:tcPr>
          <w:p>
            <w:pPr>
              <w:snapToGrid w:val="0"/>
              <w:spacing w:line="460" w:lineRule="exact"/>
              <w:jc w:val="left"/>
              <w:rPr>
                <w:rFonts w:ascii="仿宋" w:hAnsi="仿宋" w:eastAsia="仿宋" w:cs="宋体"/>
                <w:kern w:val="0"/>
                <w:sz w:val="24"/>
                <w:szCs w:val="24"/>
              </w:rPr>
            </w:pPr>
            <w:r>
              <w:rPr>
                <w:rFonts w:hint="eastAsia" w:ascii="仿宋" w:hAnsi="仿宋" w:eastAsia="仿宋" w:cs="宋体"/>
                <w:kern w:val="0"/>
                <w:sz w:val="24"/>
                <w:szCs w:val="24"/>
              </w:rPr>
              <w:t>围绕西城区可持续发展建设重点任务，支持国家、北京市、西城区重大可持续发展专项区域试点。</w:t>
            </w:r>
          </w:p>
        </w:tc>
      </w:tr>
    </w:tbl>
    <w:p>
      <w:pPr>
        <w:rPr>
          <w:sz w:val="28"/>
          <w:szCs w:val="28"/>
        </w:rPr>
      </w:pPr>
    </w:p>
    <w:sectPr>
      <w:pgSz w:w="16838" w:h="11906" w:orient="landscape"/>
      <w:pgMar w:top="1134" w:right="1701"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方正舒体"/>
    <w:panose1 w:val="00000000000000000000"/>
    <w:charset w:val="86"/>
    <w:family w:val="auto"/>
    <w:pitch w:val="default"/>
    <w:sig w:usb0="00000000" w:usb1="00000000" w:usb2="00000010" w:usb3="00000000" w:csb0="00040000" w:csb1="00000000"/>
  </w:font>
  <w:font w:name="等线">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E4686"/>
    <w:multiLevelType w:val="multilevel"/>
    <w:tmpl w:val="6BFE4686"/>
    <w:lvl w:ilvl="0" w:tentative="0">
      <w:start w:val="1"/>
      <w:numFmt w:val="japaneseCounting"/>
      <w:lvlText w:val="%1、"/>
      <w:lvlJc w:val="left"/>
      <w:pPr>
        <w:ind w:left="660" w:hanging="6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F3"/>
    <w:rsid w:val="0000094D"/>
    <w:rsid w:val="00001762"/>
    <w:rsid w:val="000024A1"/>
    <w:rsid w:val="000040DC"/>
    <w:rsid w:val="0000559C"/>
    <w:rsid w:val="00006581"/>
    <w:rsid w:val="00007A04"/>
    <w:rsid w:val="00007C81"/>
    <w:rsid w:val="00013472"/>
    <w:rsid w:val="000137C4"/>
    <w:rsid w:val="00013E71"/>
    <w:rsid w:val="00014C62"/>
    <w:rsid w:val="00016A73"/>
    <w:rsid w:val="00017457"/>
    <w:rsid w:val="00023054"/>
    <w:rsid w:val="00023736"/>
    <w:rsid w:val="00023E8E"/>
    <w:rsid w:val="000263C2"/>
    <w:rsid w:val="00026892"/>
    <w:rsid w:val="00030A7B"/>
    <w:rsid w:val="00031631"/>
    <w:rsid w:val="00031874"/>
    <w:rsid w:val="000343C8"/>
    <w:rsid w:val="00034575"/>
    <w:rsid w:val="00037029"/>
    <w:rsid w:val="00037611"/>
    <w:rsid w:val="00037836"/>
    <w:rsid w:val="00042EEF"/>
    <w:rsid w:val="00043707"/>
    <w:rsid w:val="00045F17"/>
    <w:rsid w:val="00045F68"/>
    <w:rsid w:val="00046E62"/>
    <w:rsid w:val="00047296"/>
    <w:rsid w:val="000506E3"/>
    <w:rsid w:val="000518AC"/>
    <w:rsid w:val="00051F2D"/>
    <w:rsid w:val="000540BB"/>
    <w:rsid w:val="000555B3"/>
    <w:rsid w:val="0005680A"/>
    <w:rsid w:val="00061A16"/>
    <w:rsid w:val="000628AF"/>
    <w:rsid w:val="000652C6"/>
    <w:rsid w:val="00066CAB"/>
    <w:rsid w:val="00070335"/>
    <w:rsid w:val="000723D4"/>
    <w:rsid w:val="00073330"/>
    <w:rsid w:val="000749AA"/>
    <w:rsid w:val="000815D2"/>
    <w:rsid w:val="0008339B"/>
    <w:rsid w:val="000854A8"/>
    <w:rsid w:val="00085923"/>
    <w:rsid w:val="00086671"/>
    <w:rsid w:val="000868CF"/>
    <w:rsid w:val="00091D6A"/>
    <w:rsid w:val="0009298C"/>
    <w:rsid w:val="00092B0F"/>
    <w:rsid w:val="000934E1"/>
    <w:rsid w:val="0009350A"/>
    <w:rsid w:val="000A588A"/>
    <w:rsid w:val="000A5DCD"/>
    <w:rsid w:val="000B0BF7"/>
    <w:rsid w:val="000B0EA8"/>
    <w:rsid w:val="000B1DE1"/>
    <w:rsid w:val="000B2250"/>
    <w:rsid w:val="000B2B3F"/>
    <w:rsid w:val="000B30E9"/>
    <w:rsid w:val="000B3828"/>
    <w:rsid w:val="000B5019"/>
    <w:rsid w:val="000B5206"/>
    <w:rsid w:val="000B5393"/>
    <w:rsid w:val="000B5B62"/>
    <w:rsid w:val="000B7B98"/>
    <w:rsid w:val="000C2322"/>
    <w:rsid w:val="000C442B"/>
    <w:rsid w:val="000C4A65"/>
    <w:rsid w:val="000C4C47"/>
    <w:rsid w:val="000D1839"/>
    <w:rsid w:val="000D24DF"/>
    <w:rsid w:val="000D433E"/>
    <w:rsid w:val="000D6BFD"/>
    <w:rsid w:val="000E189E"/>
    <w:rsid w:val="000E253C"/>
    <w:rsid w:val="000E2E6F"/>
    <w:rsid w:val="000E33D9"/>
    <w:rsid w:val="000E550C"/>
    <w:rsid w:val="000E625F"/>
    <w:rsid w:val="000E784C"/>
    <w:rsid w:val="000F3499"/>
    <w:rsid w:val="000F3DDF"/>
    <w:rsid w:val="000F568F"/>
    <w:rsid w:val="000F66CD"/>
    <w:rsid w:val="000F7489"/>
    <w:rsid w:val="000F76E8"/>
    <w:rsid w:val="000F7B3F"/>
    <w:rsid w:val="00104FE0"/>
    <w:rsid w:val="00105752"/>
    <w:rsid w:val="0010609D"/>
    <w:rsid w:val="00107B59"/>
    <w:rsid w:val="0011041F"/>
    <w:rsid w:val="001114D2"/>
    <w:rsid w:val="00124499"/>
    <w:rsid w:val="001249CA"/>
    <w:rsid w:val="00124C73"/>
    <w:rsid w:val="0012676D"/>
    <w:rsid w:val="00130906"/>
    <w:rsid w:val="00131FAF"/>
    <w:rsid w:val="001330BA"/>
    <w:rsid w:val="0013379C"/>
    <w:rsid w:val="001357D5"/>
    <w:rsid w:val="00135F63"/>
    <w:rsid w:val="00140C9B"/>
    <w:rsid w:val="0014235D"/>
    <w:rsid w:val="00145FEB"/>
    <w:rsid w:val="00154355"/>
    <w:rsid w:val="001556E2"/>
    <w:rsid w:val="00157F19"/>
    <w:rsid w:val="00160437"/>
    <w:rsid w:val="001609E9"/>
    <w:rsid w:val="001620CB"/>
    <w:rsid w:val="00163F10"/>
    <w:rsid w:val="001664F2"/>
    <w:rsid w:val="00166C30"/>
    <w:rsid w:val="00166CCB"/>
    <w:rsid w:val="00170A55"/>
    <w:rsid w:val="00170AB3"/>
    <w:rsid w:val="00171880"/>
    <w:rsid w:val="001725D0"/>
    <w:rsid w:val="00174ADC"/>
    <w:rsid w:val="0018006E"/>
    <w:rsid w:val="00181E92"/>
    <w:rsid w:val="001831B9"/>
    <w:rsid w:val="001845F4"/>
    <w:rsid w:val="001854D0"/>
    <w:rsid w:val="0019323C"/>
    <w:rsid w:val="001940D8"/>
    <w:rsid w:val="0019633B"/>
    <w:rsid w:val="001A06D5"/>
    <w:rsid w:val="001A1E10"/>
    <w:rsid w:val="001A3792"/>
    <w:rsid w:val="001A4061"/>
    <w:rsid w:val="001A507C"/>
    <w:rsid w:val="001A6490"/>
    <w:rsid w:val="001B0012"/>
    <w:rsid w:val="001B2C31"/>
    <w:rsid w:val="001B488B"/>
    <w:rsid w:val="001B63D7"/>
    <w:rsid w:val="001B680A"/>
    <w:rsid w:val="001C23F0"/>
    <w:rsid w:val="001C2C8E"/>
    <w:rsid w:val="001C408D"/>
    <w:rsid w:val="001C5E1C"/>
    <w:rsid w:val="001C6EFA"/>
    <w:rsid w:val="001D16E3"/>
    <w:rsid w:val="001D3CD1"/>
    <w:rsid w:val="001D42C3"/>
    <w:rsid w:val="001D5333"/>
    <w:rsid w:val="001D5BD9"/>
    <w:rsid w:val="001D68B3"/>
    <w:rsid w:val="001E062C"/>
    <w:rsid w:val="001E393C"/>
    <w:rsid w:val="001E41C1"/>
    <w:rsid w:val="001E440A"/>
    <w:rsid w:val="001E53C7"/>
    <w:rsid w:val="001E5AFC"/>
    <w:rsid w:val="001E5FA1"/>
    <w:rsid w:val="001E76B4"/>
    <w:rsid w:val="001F3DA0"/>
    <w:rsid w:val="001F490B"/>
    <w:rsid w:val="001F58FB"/>
    <w:rsid w:val="001F6521"/>
    <w:rsid w:val="00200883"/>
    <w:rsid w:val="002009B1"/>
    <w:rsid w:val="00202ECC"/>
    <w:rsid w:val="00206A17"/>
    <w:rsid w:val="00207C3E"/>
    <w:rsid w:val="00207ED4"/>
    <w:rsid w:val="002109A4"/>
    <w:rsid w:val="00213E2D"/>
    <w:rsid w:val="00215624"/>
    <w:rsid w:val="00215FB6"/>
    <w:rsid w:val="00217F9A"/>
    <w:rsid w:val="002201A2"/>
    <w:rsid w:val="00220794"/>
    <w:rsid w:val="002246AA"/>
    <w:rsid w:val="00225ADE"/>
    <w:rsid w:val="00226893"/>
    <w:rsid w:val="002269B7"/>
    <w:rsid w:val="00227541"/>
    <w:rsid w:val="00227D3B"/>
    <w:rsid w:val="00232465"/>
    <w:rsid w:val="002340FF"/>
    <w:rsid w:val="00235082"/>
    <w:rsid w:val="0023617D"/>
    <w:rsid w:val="00236C93"/>
    <w:rsid w:val="00242CA7"/>
    <w:rsid w:val="002454B2"/>
    <w:rsid w:val="00247898"/>
    <w:rsid w:val="00250BC0"/>
    <w:rsid w:val="00250FF8"/>
    <w:rsid w:val="00251354"/>
    <w:rsid w:val="0025164C"/>
    <w:rsid w:val="00251D43"/>
    <w:rsid w:val="0025216D"/>
    <w:rsid w:val="0025235F"/>
    <w:rsid w:val="0025574E"/>
    <w:rsid w:val="00257F57"/>
    <w:rsid w:val="0026049C"/>
    <w:rsid w:val="0026168C"/>
    <w:rsid w:val="002643C3"/>
    <w:rsid w:val="00265B12"/>
    <w:rsid w:val="00267F3A"/>
    <w:rsid w:val="00270BB3"/>
    <w:rsid w:val="0027118C"/>
    <w:rsid w:val="00274A81"/>
    <w:rsid w:val="0028035E"/>
    <w:rsid w:val="00280A1B"/>
    <w:rsid w:val="00281640"/>
    <w:rsid w:val="002820FB"/>
    <w:rsid w:val="00283D9F"/>
    <w:rsid w:val="00286137"/>
    <w:rsid w:val="002865D0"/>
    <w:rsid w:val="00287D68"/>
    <w:rsid w:val="00287F24"/>
    <w:rsid w:val="002904F2"/>
    <w:rsid w:val="002937DA"/>
    <w:rsid w:val="00295817"/>
    <w:rsid w:val="002A0904"/>
    <w:rsid w:val="002A0E97"/>
    <w:rsid w:val="002A1425"/>
    <w:rsid w:val="002A292A"/>
    <w:rsid w:val="002A2ED4"/>
    <w:rsid w:val="002A3063"/>
    <w:rsid w:val="002B6AFC"/>
    <w:rsid w:val="002C0817"/>
    <w:rsid w:val="002C1D0D"/>
    <w:rsid w:val="002C2FB6"/>
    <w:rsid w:val="002C522E"/>
    <w:rsid w:val="002D0A05"/>
    <w:rsid w:val="002D0B8E"/>
    <w:rsid w:val="002D1C0A"/>
    <w:rsid w:val="002D21DE"/>
    <w:rsid w:val="002D27F3"/>
    <w:rsid w:val="002D4888"/>
    <w:rsid w:val="002D54C6"/>
    <w:rsid w:val="002E0F4B"/>
    <w:rsid w:val="002E13BF"/>
    <w:rsid w:val="002E15D3"/>
    <w:rsid w:val="002E1DDB"/>
    <w:rsid w:val="002E21B1"/>
    <w:rsid w:val="002E2BB9"/>
    <w:rsid w:val="002E566D"/>
    <w:rsid w:val="002E59F3"/>
    <w:rsid w:val="002E64A3"/>
    <w:rsid w:val="002E6846"/>
    <w:rsid w:val="002E718C"/>
    <w:rsid w:val="002E7ABB"/>
    <w:rsid w:val="002E7BDF"/>
    <w:rsid w:val="002E7F31"/>
    <w:rsid w:val="002F196F"/>
    <w:rsid w:val="002F349E"/>
    <w:rsid w:val="002F3ACE"/>
    <w:rsid w:val="002F4593"/>
    <w:rsid w:val="002F4687"/>
    <w:rsid w:val="002F5A21"/>
    <w:rsid w:val="002F6FB1"/>
    <w:rsid w:val="002F7312"/>
    <w:rsid w:val="002F77F4"/>
    <w:rsid w:val="002F7E96"/>
    <w:rsid w:val="00300392"/>
    <w:rsid w:val="00302A62"/>
    <w:rsid w:val="00304183"/>
    <w:rsid w:val="0030418F"/>
    <w:rsid w:val="00310CAA"/>
    <w:rsid w:val="003146BF"/>
    <w:rsid w:val="00321222"/>
    <w:rsid w:val="003239ED"/>
    <w:rsid w:val="00323F66"/>
    <w:rsid w:val="003251E5"/>
    <w:rsid w:val="0032604D"/>
    <w:rsid w:val="003267A1"/>
    <w:rsid w:val="00330291"/>
    <w:rsid w:val="00333100"/>
    <w:rsid w:val="00333C62"/>
    <w:rsid w:val="00334B97"/>
    <w:rsid w:val="0033625B"/>
    <w:rsid w:val="003378A1"/>
    <w:rsid w:val="00342DC6"/>
    <w:rsid w:val="003431D6"/>
    <w:rsid w:val="00343CAA"/>
    <w:rsid w:val="00345594"/>
    <w:rsid w:val="00347EEC"/>
    <w:rsid w:val="003510DA"/>
    <w:rsid w:val="00351DEC"/>
    <w:rsid w:val="00352323"/>
    <w:rsid w:val="003547F5"/>
    <w:rsid w:val="00354BCD"/>
    <w:rsid w:val="00354D50"/>
    <w:rsid w:val="003601A8"/>
    <w:rsid w:val="00361CD6"/>
    <w:rsid w:val="003671D4"/>
    <w:rsid w:val="0037276F"/>
    <w:rsid w:val="003805B0"/>
    <w:rsid w:val="00383BA5"/>
    <w:rsid w:val="00384C7B"/>
    <w:rsid w:val="00390722"/>
    <w:rsid w:val="00391C01"/>
    <w:rsid w:val="00391F67"/>
    <w:rsid w:val="00392DB5"/>
    <w:rsid w:val="003A038A"/>
    <w:rsid w:val="003A0D0A"/>
    <w:rsid w:val="003A3419"/>
    <w:rsid w:val="003A3659"/>
    <w:rsid w:val="003B1028"/>
    <w:rsid w:val="003B13FF"/>
    <w:rsid w:val="003B2265"/>
    <w:rsid w:val="003B4158"/>
    <w:rsid w:val="003B4EA2"/>
    <w:rsid w:val="003B6D8C"/>
    <w:rsid w:val="003C291F"/>
    <w:rsid w:val="003C47B8"/>
    <w:rsid w:val="003C5019"/>
    <w:rsid w:val="003C77F8"/>
    <w:rsid w:val="003D093D"/>
    <w:rsid w:val="003D1712"/>
    <w:rsid w:val="003D22D1"/>
    <w:rsid w:val="003D336A"/>
    <w:rsid w:val="003D341A"/>
    <w:rsid w:val="003D4395"/>
    <w:rsid w:val="003D51A8"/>
    <w:rsid w:val="003D7B1B"/>
    <w:rsid w:val="003E1F99"/>
    <w:rsid w:val="003E305B"/>
    <w:rsid w:val="003E323C"/>
    <w:rsid w:val="003E594A"/>
    <w:rsid w:val="003E765E"/>
    <w:rsid w:val="003F0C11"/>
    <w:rsid w:val="003F1060"/>
    <w:rsid w:val="003F50A9"/>
    <w:rsid w:val="003F74E8"/>
    <w:rsid w:val="00403381"/>
    <w:rsid w:val="004056F1"/>
    <w:rsid w:val="00406B94"/>
    <w:rsid w:val="004073B9"/>
    <w:rsid w:val="00415E90"/>
    <w:rsid w:val="00416ED3"/>
    <w:rsid w:val="004212A9"/>
    <w:rsid w:val="0042284A"/>
    <w:rsid w:val="004246AF"/>
    <w:rsid w:val="004246D1"/>
    <w:rsid w:val="00424825"/>
    <w:rsid w:val="00425567"/>
    <w:rsid w:val="004257DB"/>
    <w:rsid w:val="004274AB"/>
    <w:rsid w:val="00430EF7"/>
    <w:rsid w:val="00431DD9"/>
    <w:rsid w:val="00434CF7"/>
    <w:rsid w:val="00435344"/>
    <w:rsid w:val="004371BC"/>
    <w:rsid w:val="00440F2C"/>
    <w:rsid w:val="0044159A"/>
    <w:rsid w:val="00450A8C"/>
    <w:rsid w:val="00451010"/>
    <w:rsid w:val="00455445"/>
    <w:rsid w:val="00455C8E"/>
    <w:rsid w:val="00460DC6"/>
    <w:rsid w:val="0046122B"/>
    <w:rsid w:val="00463B2E"/>
    <w:rsid w:val="004720DE"/>
    <w:rsid w:val="00472347"/>
    <w:rsid w:val="0047576D"/>
    <w:rsid w:val="00477915"/>
    <w:rsid w:val="00480019"/>
    <w:rsid w:val="00481198"/>
    <w:rsid w:val="0048487D"/>
    <w:rsid w:val="004875EE"/>
    <w:rsid w:val="00490B77"/>
    <w:rsid w:val="004926D9"/>
    <w:rsid w:val="00492F96"/>
    <w:rsid w:val="00494F91"/>
    <w:rsid w:val="00497836"/>
    <w:rsid w:val="004B0482"/>
    <w:rsid w:val="004B0C30"/>
    <w:rsid w:val="004B1445"/>
    <w:rsid w:val="004B28A8"/>
    <w:rsid w:val="004B2B3B"/>
    <w:rsid w:val="004B52DA"/>
    <w:rsid w:val="004B6DD0"/>
    <w:rsid w:val="004C0300"/>
    <w:rsid w:val="004C0565"/>
    <w:rsid w:val="004C18E0"/>
    <w:rsid w:val="004C1920"/>
    <w:rsid w:val="004C1FF0"/>
    <w:rsid w:val="004C356D"/>
    <w:rsid w:val="004C4998"/>
    <w:rsid w:val="004C5AB3"/>
    <w:rsid w:val="004C6986"/>
    <w:rsid w:val="004D1866"/>
    <w:rsid w:val="004D78AE"/>
    <w:rsid w:val="004E2FB8"/>
    <w:rsid w:val="004E314E"/>
    <w:rsid w:val="004E6893"/>
    <w:rsid w:val="004E6D0B"/>
    <w:rsid w:val="004F19E2"/>
    <w:rsid w:val="004F3EBB"/>
    <w:rsid w:val="004F44E2"/>
    <w:rsid w:val="004F6D10"/>
    <w:rsid w:val="004F6FDB"/>
    <w:rsid w:val="004F73B1"/>
    <w:rsid w:val="0050243E"/>
    <w:rsid w:val="00504D1C"/>
    <w:rsid w:val="0050626E"/>
    <w:rsid w:val="00506B38"/>
    <w:rsid w:val="005074E4"/>
    <w:rsid w:val="00507631"/>
    <w:rsid w:val="00513B39"/>
    <w:rsid w:val="005142F0"/>
    <w:rsid w:val="00514A8A"/>
    <w:rsid w:val="00514F79"/>
    <w:rsid w:val="00523720"/>
    <w:rsid w:val="00524724"/>
    <w:rsid w:val="0052521E"/>
    <w:rsid w:val="00525B23"/>
    <w:rsid w:val="00532598"/>
    <w:rsid w:val="005350C4"/>
    <w:rsid w:val="0053654A"/>
    <w:rsid w:val="00536948"/>
    <w:rsid w:val="00537B60"/>
    <w:rsid w:val="00537FEE"/>
    <w:rsid w:val="00540785"/>
    <w:rsid w:val="00541356"/>
    <w:rsid w:val="0054139B"/>
    <w:rsid w:val="005441B0"/>
    <w:rsid w:val="005446D2"/>
    <w:rsid w:val="00546EE2"/>
    <w:rsid w:val="00547F56"/>
    <w:rsid w:val="005502D8"/>
    <w:rsid w:val="0055346B"/>
    <w:rsid w:val="00554609"/>
    <w:rsid w:val="00554EA6"/>
    <w:rsid w:val="005579A4"/>
    <w:rsid w:val="00557FD3"/>
    <w:rsid w:val="00561D08"/>
    <w:rsid w:val="005625E9"/>
    <w:rsid w:val="00563FE4"/>
    <w:rsid w:val="00564083"/>
    <w:rsid w:val="00565860"/>
    <w:rsid w:val="00572CF2"/>
    <w:rsid w:val="0057487B"/>
    <w:rsid w:val="00577249"/>
    <w:rsid w:val="00577DFC"/>
    <w:rsid w:val="005816F4"/>
    <w:rsid w:val="0059062A"/>
    <w:rsid w:val="00592CC8"/>
    <w:rsid w:val="00597BFD"/>
    <w:rsid w:val="005A08F9"/>
    <w:rsid w:val="005A1961"/>
    <w:rsid w:val="005A4162"/>
    <w:rsid w:val="005A7BBF"/>
    <w:rsid w:val="005B0263"/>
    <w:rsid w:val="005B214D"/>
    <w:rsid w:val="005B2DE1"/>
    <w:rsid w:val="005B613F"/>
    <w:rsid w:val="005B6E6E"/>
    <w:rsid w:val="005B75D9"/>
    <w:rsid w:val="005B7BED"/>
    <w:rsid w:val="005C1E32"/>
    <w:rsid w:val="005C2A77"/>
    <w:rsid w:val="005C4FB2"/>
    <w:rsid w:val="005C5557"/>
    <w:rsid w:val="005C5E1C"/>
    <w:rsid w:val="005D0D85"/>
    <w:rsid w:val="005D0E47"/>
    <w:rsid w:val="005D19D9"/>
    <w:rsid w:val="005D2251"/>
    <w:rsid w:val="005D23BC"/>
    <w:rsid w:val="005D253D"/>
    <w:rsid w:val="005D335A"/>
    <w:rsid w:val="005D361B"/>
    <w:rsid w:val="005D362D"/>
    <w:rsid w:val="005D39BE"/>
    <w:rsid w:val="005D5650"/>
    <w:rsid w:val="005D6765"/>
    <w:rsid w:val="005D6A8E"/>
    <w:rsid w:val="005D78B2"/>
    <w:rsid w:val="005E0330"/>
    <w:rsid w:val="005E0D5E"/>
    <w:rsid w:val="005E112A"/>
    <w:rsid w:val="005E2FBE"/>
    <w:rsid w:val="005E5EA0"/>
    <w:rsid w:val="005E7FEC"/>
    <w:rsid w:val="005F33B7"/>
    <w:rsid w:val="005F3EB8"/>
    <w:rsid w:val="005F480A"/>
    <w:rsid w:val="005F6034"/>
    <w:rsid w:val="005F69EC"/>
    <w:rsid w:val="006032EF"/>
    <w:rsid w:val="00604259"/>
    <w:rsid w:val="006045DF"/>
    <w:rsid w:val="00604A71"/>
    <w:rsid w:val="00610781"/>
    <w:rsid w:val="0061263A"/>
    <w:rsid w:val="0061296F"/>
    <w:rsid w:val="00615E3E"/>
    <w:rsid w:val="006168C3"/>
    <w:rsid w:val="00617FBB"/>
    <w:rsid w:val="00620055"/>
    <w:rsid w:val="006235EA"/>
    <w:rsid w:val="00624491"/>
    <w:rsid w:val="00630C44"/>
    <w:rsid w:val="00630E60"/>
    <w:rsid w:val="006358BE"/>
    <w:rsid w:val="006358FE"/>
    <w:rsid w:val="006427D3"/>
    <w:rsid w:val="00643A57"/>
    <w:rsid w:val="00643A7C"/>
    <w:rsid w:val="006444C2"/>
    <w:rsid w:val="00645D21"/>
    <w:rsid w:val="00647039"/>
    <w:rsid w:val="00647FD6"/>
    <w:rsid w:val="006506E6"/>
    <w:rsid w:val="0065074D"/>
    <w:rsid w:val="00651C97"/>
    <w:rsid w:val="006530BD"/>
    <w:rsid w:val="00655647"/>
    <w:rsid w:val="00662360"/>
    <w:rsid w:val="0066345C"/>
    <w:rsid w:val="00666423"/>
    <w:rsid w:val="00667902"/>
    <w:rsid w:val="00667B3D"/>
    <w:rsid w:val="006715FF"/>
    <w:rsid w:val="00672086"/>
    <w:rsid w:val="00672965"/>
    <w:rsid w:val="006745A4"/>
    <w:rsid w:val="006753CF"/>
    <w:rsid w:val="00676F3C"/>
    <w:rsid w:val="00680044"/>
    <w:rsid w:val="00683234"/>
    <w:rsid w:val="006837A4"/>
    <w:rsid w:val="0068466E"/>
    <w:rsid w:val="00684A12"/>
    <w:rsid w:val="00684AB3"/>
    <w:rsid w:val="00687E63"/>
    <w:rsid w:val="00690196"/>
    <w:rsid w:val="00691269"/>
    <w:rsid w:val="00695505"/>
    <w:rsid w:val="00695703"/>
    <w:rsid w:val="006A0120"/>
    <w:rsid w:val="006A2E34"/>
    <w:rsid w:val="006A44B5"/>
    <w:rsid w:val="006A601F"/>
    <w:rsid w:val="006B0485"/>
    <w:rsid w:val="006B0F35"/>
    <w:rsid w:val="006B0F52"/>
    <w:rsid w:val="006B114F"/>
    <w:rsid w:val="006B1389"/>
    <w:rsid w:val="006B3724"/>
    <w:rsid w:val="006B5E6F"/>
    <w:rsid w:val="006B7E23"/>
    <w:rsid w:val="006C1D5F"/>
    <w:rsid w:val="006C1E93"/>
    <w:rsid w:val="006C257B"/>
    <w:rsid w:val="006C2F7C"/>
    <w:rsid w:val="006C4B6D"/>
    <w:rsid w:val="006D4515"/>
    <w:rsid w:val="006D4CC0"/>
    <w:rsid w:val="006D554A"/>
    <w:rsid w:val="006D5E86"/>
    <w:rsid w:val="006E0841"/>
    <w:rsid w:val="006E0E94"/>
    <w:rsid w:val="006E13D1"/>
    <w:rsid w:val="006E5AF4"/>
    <w:rsid w:val="006E70DF"/>
    <w:rsid w:val="006E771F"/>
    <w:rsid w:val="006F124A"/>
    <w:rsid w:val="006F29CD"/>
    <w:rsid w:val="006F2A4F"/>
    <w:rsid w:val="006F4F3F"/>
    <w:rsid w:val="006F50D4"/>
    <w:rsid w:val="007032D7"/>
    <w:rsid w:val="00703C22"/>
    <w:rsid w:val="0070459E"/>
    <w:rsid w:val="00704AB6"/>
    <w:rsid w:val="0071116F"/>
    <w:rsid w:val="00711BFE"/>
    <w:rsid w:val="007134C4"/>
    <w:rsid w:val="00715C03"/>
    <w:rsid w:val="00715ED4"/>
    <w:rsid w:val="007178CA"/>
    <w:rsid w:val="007216A7"/>
    <w:rsid w:val="00723FE3"/>
    <w:rsid w:val="00731144"/>
    <w:rsid w:val="00731321"/>
    <w:rsid w:val="00731845"/>
    <w:rsid w:val="007327F0"/>
    <w:rsid w:val="00733F9A"/>
    <w:rsid w:val="00735777"/>
    <w:rsid w:val="00735A85"/>
    <w:rsid w:val="00737931"/>
    <w:rsid w:val="00744832"/>
    <w:rsid w:val="007469DE"/>
    <w:rsid w:val="00750BDD"/>
    <w:rsid w:val="00750FA4"/>
    <w:rsid w:val="00752731"/>
    <w:rsid w:val="00753391"/>
    <w:rsid w:val="00761044"/>
    <w:rsid w:val="00761AFC"/>
    <w:rsid w:val="007621DE"/>
    <w:rsid w:val="00762463"/>
    <w:rsid w:val="007629A3"/>
    <w:rsid w:val="00763407"/>
    <w:rsid w:val="00763BCD"/>
    <w:rsid w:val="00767202"/>
    <w:rsid w:val="0076794C"/>
    <w:rsid w:val="0077232B"/>
    <w:rsid w:val="007739CD"/>
    <w:rsid w:val="007742E6"/>
    <w:rsid w:val="00781808"/>
    <w:rsid w:val="00782722"/>
    <w:rsid w:val="00782D28"/>
    <w:rsid w:val="00784C1B"/>
    <w:rsid w:val="00785A64"/>
    <w:rsid w:val="00786E60"/>
    <w:rsid w:val="0078736D"/>
    <w:rsid w:val="0078770B"/>
    <w:rsid w:val="00790074"/>
    <w:rsid w:val="00793279"/>
    <w:rsid w:val="00793C59"/>
    <w:rsid w:val="0079535C"/>
    <w:rsid w:val="00796D31"/>
    <w:rsid w:val="007A34F5"/>
    <w:rsid w:val="007A3977"/>
    <w:rsid w:val="007A4386"/>
    <w:rsid w:val="007A527D"/>
    <w:rsid w:val="007A5DBB"/>
    <w:rsid w:val="007A6214"/>
    <w:rsid w:val="007B3CD3"/>
    <w:rsid w:val="007B6627"/>
    <w:rsid w:val="007B7655"/>
    <w:rsid w:val="007B7A39"/>
    <w:rsid w:val="007C106C"/>
    <w:rsid w:val="007C12E8"/>
    <w:rsid w:val="007C23F9"/>
    <w:rsid w:val="007C42E2"/>
    <w:rsid w:val="007C486A"/>
    <w:rsid w:val="007C4888"/>
    <w:rsid w:val="007C4C88"/>
    <w:rsid w:val="007C6DA6"/>
    <w:rsid w:val="007C7F61"/>
    <w:rsid w:val="007C7FD5"/>
    <w:rsid w:val="007D13FD"/>
    <w:rsid w:val="007D202A"/>
    <w:rsid w:val="007D391A"/>
    <w:rsid w:val="007E161A"/>
    <w:rsid w:val="007E41D7"/>
    <w:rsid w:val="007E43F1"/>
    <w:rsid w:val="007E498D"/>
    <w:rsid w:val="007E5142"/>
    <w:rsid w:val="007E587D"/>
    <w:rsid w:val="007E713E"/>
    <w:rsid w:val="007E75B0"/>
    <w:rsid w:val="007F0D1E"/>
    <w:rsid w:val="007F0E4A"/>
    <w:rsid w:val="007F2443"/>
    <w:rsid w:val="007F5117"/>
    <w:rsid w:val="007F5A34"/>
    <w:rsid w:val="007F720C"/>
    <w:rsid w:val="00801656"/>
    <w:rsid w:val="00801712"/>
    <w:rsid w:val="008028F5"/>
    <w:rsid w:val="008029BF"/>
    <w:rsid w:val="00806CFC"/>
    <w:rsid w:val="00807A77"/>
    <w:rsid w:val="00807BF7"/>
    <w:rsid w:val="0081236D"/>
    <w:rsid w:val="00812478"/>
    <w:rsid w:val="00817982"/>
    <w:rsid w:val="00817DC8"/>
    <w:rsid w:val="00817F5A"/>
    <w:rsid w:val="0082203D"/>
    <w:rsid w:val="00822062"/>
    <w:rsid w:val="008255A7"/>
    <w:rsid w:val="00827A31"/>
    <w:rsid w:val="00827D9F"/>
    <w:rsid w:val="008366C0"/>
    <w:rsid w:val="008366E8"/>
    <w:rsid w:val="00836AA9"/>
    <w:rsid w:val="0084163C"/>
    <w:rsid w:val="00842B25"/>
    <w:rsid w:val="0084573D"/>
    <w:rsid w:val="0084718D"/>
    <w:rsid w:val="0085029E"/>
    <w:rsid w:val="00851645"/>
    <w:rsid w:val="00851798"/>
    <w:rsid w:val="00852A8A"/>
    <w:rsid w:val="00854265"/>
    <w:rsid w:val="0085558D"/>
    <w:rsid w:val="00857A59"/>
    <w:rsid w:val="008627D0"/>
    <w:rsid w:val="00862C97"/>
    <w:rsid w:val="00862FCC"/>
    <w:rsid w:val="00863907"/>
    <w:rsid w:val="00865185"/>
    <w:rsid w:val="00865A48"/>
    <w:rsid w:val="00871129"/>
    <w:rsid w:val="00872CC1"/>
    <w:rsid w:val="00877691"/>
    <w:rsid w:val="00877A48"/>
    <w:rsid w:val="00884045"/>
    <w:rsid w:val="00885A68"/>
    <w:rsid w:val="00886595"/>
    <w:rsid w:val="00886A0F"/>
    <w:rsid w:val="008872D1"/>
    <w:rsid w:val="008877E0"/>
    <w:rsid w:val="00887FCE"/>
    <w:rsid w:val="008939F6"/>
    <w:rsid w:val="0089558E"/>
    <w:rsid w:val="008A2DC9"/>
    <w:rsid w:val="008A3513"/>
    <w:rsid w:val="008A391C"/>
    <w:rsid w:val="008A43E3"/>
    <w:rsid w:val="008A43F5"/>
    <w:rsid w:val="008A4D9F"/>
    <w:rsid w:val="008A50F7"/>
    <w:rsid w:val="008A797E"/>
    <w:rsid w:val="008B0E4D"/>
    <w:rsid w:val="008B1126"/>
    <w:rsid w:val="008B144D"/>
    <w:rsid w:val="008B2B31"/>
    <w:rsid w:val="008B42DC"/>
    <w:rsid w:val="008B4760"/>
    <w:rsid w:val="008B59FF"/>
    <w:rsid w:val="008C0284"/>
    <w:rsid w:val="008C120A"/>
    <w:rsid w:val="008C19F5"/>
    <w:rsid w:val="008C589A"/>
    <w:rsid w:val="008C7574"/>
    <w:rsid w:val="008C781D"/>
    <w:rsid w:val="008D0967"/>
    <w:rsid w:val="008D0AAE"/>
    <w:rsid w:val="008D17D9"/>
    <w:rsid w:val="008D1FCC"/>
    <w:rsid w:val="008D231B"/>
    <w:rsid w:val="008D2432"/>
    <w:rsid w:val="008D2B52"/>
    <w:rsid w:val="008F086C"/>
    <w:rsid w:val="008F1703"/>
    <w:rsid w:val="008F3665"/>
    <w:rsid w:val="008F5474"/>
    <w:rsid w:val="008F6A0F"/>
    <w:rsid w:val="008F6E8F"/>
    <w:rsid w:val="008F7002"/>
    <w:rsid w:val="008F7DEF"/>
    <w:rsid w:val="009009AB"/>
    <w:rsid w:val="009027DC"/>
    <w:rsid w:val="0090430F"/>
    <w:rsid w:val="00911033"/>
    <w:rsid w:val="00911134"/>
    <w:rsid w:val="00914735"/>
    <w:rsid w:val="00915C8B"/>
    <w:rsid w:val="009165AA"/>
    <w:rsid w:val="00916E53"/>
    <w:rsid w:val="00921421"/>
    <w:rsid w:val="00921BC8"/>
    <w:rsid w:val="009234DA"/>
    <w:rsid w:val="00923505"/>
    <w:rsid w:val="0092558C"/>
    <w:rsid w:val="00930305"/>
    <w:rsid w:val="00932D60"/>
    <w:rsid w:val="00935432"/>
    <w:rsid w:val="0094133D"/>
    <w:rsid w:val="00941C3E"/>
    <w:rsid w:val="009439C3"/>
    <w:rsid w:val="00944A24"/>
    <w:rsid w:val="00944DEA"/>
    <w:rsid w:val="0094685A"/>
    <w:rsid w:val="00951181"/>
    <w:rsid w:val="009513D6"/>
    <w:rsid w:val="00951EC5"/>
    <w:rsid w:val="00953257"/>
    <w:rsid w:val="009533A2"/>
    <w:rsid w:val="00956DB7"/>
    <w:rsid w:val="0096244A"/>
    <w:rsid w:val="009629AB"/>
    <w:rsid w:val="00963164"/>
    <w:rsid w:val="00964F03"/>
    <w:rsid w:val="00964F16"/>
    <w:rsid w:val="009656C8"/>
    <w:rsid w:val="00966E8B"/>
    <w:rsid w:val="00970510"/>
    <w:rsid w:val="009708D9"/>
    <w:rsid w:val="00973A7C"/>
    <w:rsid w:val="0098053D"/>
    <w:rsid w:val="009827A0"/>
    <w:rsid w:val="00982CDB"/>
    <w:rsid w:val="00983EE5"/>
    <w:rsid w:val="009849F9"/>
    <w:rsid w:val="0098546F"/>
    <w:rsid w:val="00985D5F"/>
    <w:rsid w:val="00987EF2"/>
    <w:rsid w:val="00991484"/>
    <w:rsid w:val="00991B69"/>
    <w:rsid w:val="00992D39"/>
    <w:rsid w:val="00994B31"/>
    <w:rsid w:val="009A3087"/>
    <w:rsid w:val="009A4ACD"/>
    <w:rsid w:val="009A631A"/>
    <w:rsid w:val="009A6C56"/>
    <w:rsid w:val="009A7610"/>
    <w:rsid w:val="009A771C"/>
    <w:rsid w:val="009B2ACF"/>
    <w:rsid w:val="009B3673"/>
    <w:rsid w:val="009B57D3"/>
    <w:rsid w:val="009C135F"/>
    <w:rsid w:val="009C5D5C"/>
    <w:rsid w:val="009C63F6"/>
    <w:rsid w:val="009D1823"/>
    <w:rsid w:val="009D3855"/>
    <w:rsid w:val="009D3FEC"/>
    <w:rsid w:val="009D439B"/>
    <w:rsid w:val="009D48EA"/>
    <w:rsid w:val="009E327F"/>
    <w:rsid w:val="009E7B0D"/>
    <w:rsid w:val="009E7C54"/>
    <w:rsid w:val="009F0A22"/>
    <w:rsid w:val="009F4E93"/>
    <w:rsid w:val="009F5948"/>
    <w:rsid w:val="009F66EC"/>
    <w:rsid w:val="009F6A45"/>
    <w:rsid w:val="00A0011D"/>
    <w:rsid w:val="00A02340"/>
    <w:rsid w:val="00A0334E"/>
    <w:rsid w:val="00A0447B"/>
    <w:rsid w:val="00A0589B"/>
    <w:rsid w:val="00A058B5"/>
    <w:rsid w:val="00A0643D"/>
    <w:rsid w:val="00A11876"/>
    <w:rsid w:val="00A12128"/>
    <w:rsid w:val="00A12F69"/>
    <w:rsid w:val="00A13607"/>
    <w:rsid w:val="00A141A5"/>
    <w:rsid w:val="00A14BCE"/>
    <w:rsid w:val="00A16058"/>
    <w:rsid w:val="00A17EF1"/>
    <w:rsid w:val="00A21A95"/>
    <w:rsid w:val="00A2313B"/>
    <w:rsid w:val="00A24A54"/>
    <w:rsid w:val="00A3577C"/>
    <w:rsid w:val="00A37061"/>
    <w:rsid w:val="00A37475"/>
    <w:rsid w:val="00A37E2F"/>
    <w:rsid w:val="00A40F27"/>
    <w:rsid w:val="00A42D7B"/>
    <w:rsid w:val="00A42F25"/>
    <w:rsid w:val="00A437DF"/>
    <w:rsid w:val="00A44B27"/>
    <w:rsid w:val="00A4568F"/>
    <w:rsid w:val="00A45FAA"/>
    <w:rsid w:val="00A47946"/>
    <w:rsid w:val="00A50266"/>
    <w:rsid w:val="00A50DAD"/>
    <w:rsid w:val="00A518C8"/>
    <w:rsid w:val="00A5304C"/>
    <w:rsid w:val="00A56E12"/>
    <w:rsid w:val="00A57295"/>
    <w:rsid w:val="00A572F0"/>
    <w:rsid w:val="00A60388"/>
    <w:rsid w:val="00A613C1"/>
    <w:rsid w:val="00A61585"/>
    <w:rsid w:val="00A62BD4"/>
    <w:rsid w:val="00A64067"/>
    <w:rsid w:val="00A64C24"/>
    <w:rsid w:val="00A652B2"/>
    <w:rsid w:val="00A6751B"/>
    <w:rsid w:val="00A67B16"/>
    <w:rsid w:val="00A7037A"/>
    <w:rsid w:val="00A70954"/>
    <w:rsid w:val="00A71936"/>
    <w:rsid w:val="00A74403"/>
    <w:rsid w:val="00A75AC0"/>
    <w:rsid w:val="00A77B93"/>
    <w:rsid w:val="00A820F6"/>
    <w:rsid w:val="00A82B84"/>
    <w:rsid w:val="00A86DBA"/>
    <w:rsid w:val="00A90DA8"/>
    <w:rsid w:val="00A92A5C"/>
    <w:rsid w:val="00A94A0A"/>
    <w:rsid w:val="00A96350"/>
    <w:rsid w:val="00A96C02"/>
    <w:rsid w:val="00AA0F82"/>
    <w:rsid w:val="00AA1DC1"/>
    <w:rsid w:val="00AA1E20"/>
    <w:rsid w:val="00AA6C0C"/>
    <w:rsid w:val="00AB2521"/>
    <w:rsid w:val="00AB4F87"/>
    <w:rsid w:val="00AB5DF0"/>
    <w:rsid w:val="00AB7577"/>
    <w:rsid w:val="00AB7632"/>
    <w:rsid w:val="00AC0CBB"/>
    <w:rsid w:val="00AC17FD"/>
    <w:rsid w:val="00AC2E27"/>
    <w:rsid w:val="00AC4EEE"/>
    <w:rsid w:val="00AC6C1B"/>
    <w:rsid w:val="00AD22FD"/>
    <w:rsid w:val="00AD2F29"/>
    <w:rsid w:val="00AD3590"/>
    <w:rsid w:val="00AD3D0B"/>
    <w:rsid w:val="00AD4B17"/>
    <w:rsid w:val="00AD5FED"/>
    <w:rsid w:val="00AD6E54"/>
    <w:rsid w:val="00AE1953"/>
    <w:rsid w:val="00AE32D1"/>
    <w:rsid w:val="00AE442E"/>
    <w:rsid w:val="00AE6364"/>
    <w:rsid w:val="00AE6F99"/>
    <w:rsid w:val="00AE702B"/>
    <w:rsid w:val="00AE7246"/>
    <w:rsid w:val="00AE7655"/>
    <w:rsid w:val="00AF065B"/>
    <w:rsid w:val="00AF0C92"/>
    <w:rsid w:val="00AF1433"/>
    <w:rsid w:val="00AF1FB9"/>
    <w:rsid w:val="00AF36DB"/>
    <w:rsid w:val="00B025AF"/>
    <w:rsid w:val="00B04159"/>
    <w:rsid w:val="00B05703"/>
    <w:rsid w:val="00B110C7"/>
    <w:rsid w:val="00B13BCD"/>
    <w:rsid w:val="00B15812"/>
    <w:rsid w:val="00B16B9A"/>
    <w:rsid w:val="00B16D1F"/>
    <w:rsid w:val="00B20E96"/>
    <w:rsid w:val="00B236D7"/>
    <w:rsid w:val="00B237A0"/>
    <w:rsid w:val="00B24CC9"/>
    <w:rsid w:val="00B25045"/>
    <w:rsid w:val="00B2590B"/>
    <w:rsid w:val="00B26AFD"/>
    <w:rsid w:val="00B3206E"/>
    <w:rsid w:val="00B32558"/>
    <w:rsid w:val="00B33620"/>
    <w:rsid w:val="00B37497"/>
    <w:rsid w:val="00B45167"/>
    <w:rsid w:val="00B45EC1"/>
    <w:rsid w:val="00B52E64"/>
    <w:rsid w:val="00B53D76"/>
    <w:rsid w:val="00B54E0F"/>
    <w:rsid w:val="00B55CE1"/>
    <w:rsid w:val="00B56817"/>
    <w:rsid w:val="00B60498"/>
    <w:rsid w:val="00B606F7"/>
    <w:rsid w:val="00B62421"/>
    <w:rsid w:val="00B6273C"/>
    <w:rsid w:val="00B66A31"/>
    <w:rsid w:val="00B707DA"/>
    <w:rsid w:val="00B713BB"/>
    <w:rsid w:val="00B71F75"/>
    <w:rsid w:val="00B726AE"/>
    <w:rsid w:val="00B72E85"/>
    <w:rsid w:val="00B758CC"/>
    <w:rsid w:val="00B75EB6"/>
    <w:rsid w:val="00B8112F"/>
    <w:rsid w:val="00B8161C"/>
    <w:rsid w:val="00B83A7A"/>
    <w:rsid w:val="00B83DCA"/>
    <w:rsid w:val="00B8634E"/>
    <w:rsid w:val="00B9456E"/>
    <w:rsid w:val="00B965F0"/>
    <w:rsid w:val="00B966A9"/>
    <w:rsid w:val="00BA66A9"/>
    <w:rsid w:val="00BB08E0"/>
    <w:rsid w:val="00BB0CF4"/>
    <w:rsid w:val="00BB0E95"/>
    <w:rsid w:val="00BB116E"/>
    <w:rsid w:val="00BB24EA"/>
    <w:rsid w:val="00BB4DCE"/>
    <w:rsid w:val="00BB502A"/>
    <w:rsid w:val="00BB7C26"/>
    <w:rsid w:val="00BC284C"/>
    <w:rsid w:val="00BC5194"/>
    <w:rsid w:val="00BC77F4"/>
    <w:rsid w:val="00BD26D8"/>
    <w:rsid w:val="00BD48AF"/>
    <w:rsid w:val="00BD4FE8"/>
    <w:rsid w:val="00BD778A"/>
    <w:rsid w:val="00BE0C9E"/>
    <w:rsid w:val="00BE1D51"/>
    <w:rsid w:val="00BE2F92"/>
    <w:rsid w:val="00BE39CE"/>
    <w:rsid w:val="00BE3C9B"/>
    <w:rsid w:val="00BE66A1"/>
    <w:rsid w:val="00BE7EC5"/>
    <w:rsid w:val="00BF1F99"/>
    <w:rsid w:val="00BF2180"/>
    <w:rsid w:val="00BF21D9"/>
    <w:rsid w:val="00BF4948"/>
    <w:rsid w:val="00BF4D6C"/>
    <w:rsid w:val="00BF67F9"/>
    <w:rsid w:val="00BF72F1"/>
    <w:rsid w:val="00C02492"/>
    <w:rsid w:val="00C03FD0"/>
    <w:rsid w:val="00C04AAA"/>
    <w:rsid w:val="00C07D1F"/>
    <w:rsid w:val="00C07F8A"/>
    <w:rsid w:val="00C10FE6"/>
    <w:rsid w:val="00C11A34"/>
    <w:rsid w:val="00C12150"/>
    <w:rsid w:val="00C134C2"/>
    <w:rsid w:val="00C156CE"/>
    <w:rsid w:val="00C163A6"/>
    <w:rsid w:val="00C214DE"/>
    <w:rsid w:val="00C22022"/>
    <w:rsid w:val="00C23708"/>
    <w:rsid w:val="00C24322"/>
    <w:rsid w:val="00C250FB"/>
    <w:rsid w:val="00C2533E"/>
    <w:rsid w:val="00C256F5"/>
    <w:rsid w:val="00C266C4"/>
    <w:rsid w:val="00C275E9"/>
    <w:rsid w:val="00C31FA5"/>
    <w:rsid w:val="00C34D0F"/>
    <w:rsid w:val="00C378DB"/>
    <w:rsid w:val="00C4348B"/>
    <w:rsid w:val="00C47916"/>
    <w:rsid w:val="00C53FDB"/>
    <w:rsid w:val="00C57CCD"/>
    <w:rsid w:val="00C60B79"/>
    <w:rsid w:val="00C60F2A"/>
    <w:rsid w:val="00C617E0"/>
    <w:rsid w:val="00C65EBA"/>
    <w:rsid w:val="00C66231"/>
    <w:rsid w:val="00C66542"/>
    <w:rsid w:val="00C66A34"/>
    <w:rsid w:val="00C67474"/>
    <w:rsid w:val="00C70509"/>
    <w:rsid w:val="00C72720"/>
    <w:rsid w:val="00C7294C"/>
    <w:rsid w:val="00C76414"/>
    <w:rsid w:val="00C76803"/>
    <w:rsid w:val="00C82B23"/>
    <w:rsid w:val="00C82E8C"/>
    <w:rsid w:val="00C867EA"/>
    <w:rsid w:val="00C872F5"/>
    <w:rsid w:val="00C87940"/>
    <w:rsid w:val="00C90468"/>
    <w:rsid w:val="00C91656"/>
    <w:rsid w:val="00C9251C"/>
    <w:rsid w:val="00C94DE0"/>
    <w:rsid w:val="00C95125"/>
    <w:rsid w:val="00C95D75"/>
    <w:rsid w:val="00C978E1"/>
    <w:rsid w:val="00CA251B"/>
    <w:rsid w:val="00CA4353"/>
    <w:rsid w:val="00CA5CED"/>
    <w:rsid w:val="00CA75BA"/>
    <w:rsid w:val="00CB0C5D"/>
    <w:rsid w:val="00CB21DD"/>
    <w:rsid w:val="00CB3D94"/>
    <w:rsid w:val="00CB650E"/>
    <w:rsid w:val="00CB6518"/>
    <w:rsid w:val="00CB700E"/>
    <w:rsid w:val="00CB7030"/>
    <w:rsid w:val="00CC1575"/>
    <w:rsid w:val="00CC1E89"/>
    <w:rsid w:val="00CC1FA8"/>
    <w:rsid w:val="00CC24A6"/>
    <w:rsid w:val="00CC330C"/>
    <w:rsid w:val="00CC4BBD"/>
    <w:rsid w:val="00CC5243"/>
    <w:rsid w:val="00CC73F6"/>
    <w:rsid w:val="00CC75AE"/>
    <w:rsid w:val="00CC789B"/>
    <w:rsid w:val="00CD2E2A"/>
    <w:rsid w:val="00CD7B55"/>
    <w:rsid w:val="00CD7FE4"/>
    <w:rsid w:val="00CE109C"/>
    <w:rsid w:val="00CE31AE"/>
    <w:rsid w:val="00CE450C"/>
    <w:rsid w:val="00CE4B44"/>
    <w:rsid w:val="00CE4F54"/>
    <w:rsid w:val="00CE5627"/>
    <w:rsid w:val="00CF0FEA"/>
    <w:rsid w:val="00CF2EF3"/>
    <w:rsid w:val="00CF4FC8"/>
    <w:rsid w:val="00CF624E"/>
    <w:rsid w:val="00CF73B0"/>
    <w:rsid w:val="00D049D8"/>
    <w:rsid w:val="00D04C28"/>
    <w:rsid w:val="00D04D40"/>
    <w:rsid w:val="00D10F79"/>
    <w:rsid w:val="00D111EA"/>
    <w:rsid w:val="00D11B2C"/>
    <w:rsid w:val="00D1252C"/>
    <w:rsid w:val="00D14420"/>
    <w:rsid w:val="00D15599"/>
    <w:rsid w:val="00D1604F"/>
    <w:rsid w:val="00D179FA"/>
    <w:rsid w:val="00D34518"/>
    <w:rsid w:val="00D34EF3"/>
    <w:rsid w:val="00D35A9C"/>
    <w:rsid w:val="00D35D8E"/>
    <w:rsid w:val="00D37959"/>
    <w:rsid w:val="00D37D9A"/>
    <w:rsid w:val="00D37F40"/>
    <w:rsid w:val="00D40EBF"/>
    <w:rsid w:val="00D45F15"/>
    <w:rsid w:val="00D46C7F"/>
    <w:rsid w:val="00D47CD2"/>
    <w:rsid w:val="00D509CE"/>
    <w:rsid w:val="00D52234"/>
    <w:rsid w:val="00D52482"/>
    <w:rsid w:val="00D535F1"/>
    <w:rsid w:val="00D5635A"/>
    <w:rsid w:val="00D65797"/>
    <w:rsid w:val="00D65A31"/>
    <w:rsid w:val="00D667F8"/>
    <w:rsid w:val="00D66BB3"/>
    <w:rsid w:val="00D70DA6"/>
    <w:rsid w:val="00D71E2E"/>
    <w:rsid w:val="00D748B9"/>
    <w:rsid w:val="00D77265"/>
    <w:rsid w:val="00D82E6F"/>
    <w:rsid w:val="00D83C43"/>
    <w:rsid w:val="00D90B06"/>
    <w:rsid w:val="00D90B68"/>
    <w:rsid w:val="00D925B3"/>
    <w:rsid w:val="00D932AD"/>
    <w:rsid w:val="00D93746"/>
    <w:rsid w:val="00D948C0"/>
    <w:rsid w:val="00D955DC"/>
    <w:rsid w:val="00D95603"/>
    <w:rsid w:val="00DA0788"/>
    <w:rsid w:val="00DA1C78"/>
    <w:rsid w:val="00DA1F58"/>
    <w:rsid w:val="00DA3CE1"/>
    <w:rsid w:val="00DA3F9C"/>
    <w:rsid w:val="00DA4A9D"/>
    <w:rsid w:val="00DB115A"/>
    <w:rsid w:val="00DB39D4"/>
    <w:rsid w:val="00DB4ECA"/>
    <w:rsid w:val="00DC01F1"/>
    <w:rsid w:val="00DC05A6"/>
    <w:rsid w:val="00DC07D5"/>
    <w:rsid w:val="00DC0B75"/>
    <w:rsid w:val="00DC3E52"/>
    <w:rsid w:val="00DC3F04"/>
    <w:rsid w:val="00DC4232"/>
    <w:rsid w:val="00DC42B6"/>
    <w:rsid w:val="00DC4342"/>
    <w:rsid w:val="00DD0100"/>
    <w:rsid w:val="00DD3B91"/>
    <w:rsid w:val="00DD46C9"/>
    <w:rsid w:val="00DD5194"/>
    <w:rsid w:val="00DD5DDA"/>
    <w:rsid w:val="00DE2ACD"/>
    <w:rsid w:val="00DE308B"/>
    <w:rsid w:val="00DE366B"/>
    <w:rsid w:val="00DE4CFB"/>
    <w:rsid w:val="00DE7D4A"/>
    <w:rsid w:val="00DF3CDB"/>
    <w:rsid w:val="00DF4428"/>
    <w:rsid w:val="00DF5680"/>
    <w:rsid w:val="00DF5724"/>
    <w:rsid w:val="00DF7D82"/>
    <w:rsid w:val="00E00641"/>
    <w:rsid w:val="00E00B92"/>
    <w:rsid w:val="00E033AB"/>
    <w:rsid w:val="00E03CCE"/>
    <w:rsid w:val="00E06B60"/>
    <w:rsid w:val="00E077F9"/>
    <w:rsid w:val="00E10229"/>
    <w:rsid w:val="00E1168E"/>
    <w:rsid w:val="00E11746"/>
    <w:rsid w:val="00E12BD8"/>
    <w:rsid w:val="00E14701"/>
    <w:rsid w:val="00E1509E"/>
    <w:rsid w:val="00E159FA"/>
    <w:rsid w:val="00E161F6"/>
    <w:rsid w:val="00E20FB3"/>
    <w:rsid w:val="00E24428"/>
    <w:rsid w:val="00E26EA5"/>
    <w:rsid w:val="00E2796B"/>
    <w:rsid w:val="00E36275"/>
    <w:rsid w:val="00E36EC9"/>
    <w:rsid w:val="00E37C24"/>
    <w:rsid w:val="00E41B1A"/>
    <w:rsid w:val="00E41B34"/>
    <w:rsid w:val="00E424E6"/>
    <w:rsid w:val="00E42BCD"/>
    <w:rsid w:val="00E4494A"/>
    <w:rsid w:val="00E44988"/>
    <w:rsid w:val="00E500F2"/>
    <w:rsid w:val="00E50525"/>
    <w:rsid w:val="00E528B8"/>
    <w:rsid w:val="00E5692E"/>
    <w:rsid w:val="00E600B8"/>
    <w:rsid w:val="00E61578"/>
    <w:rsid w:val="00E64858"/>
    <w:rsid w:val="00E67FC3"/>
    <w:rsid w:val="00E73B8F"/>
    <w:rsid w:val="00E76069"/>
    <w:rsid w:val="00E76BAA"/>
    <w:rsid w:val="00E803B6"/>
    <w:rsid w:val="00E8084D"/>
    <w:rsid w:val="00E80B89"/>
    <w:rsid w:val="00E80E7F"/>
    <w:rsid w:val="00E84FC6"/>
    <w:rsid w:val="00E850B8"/>
    <w:rsid w:val="00E86073"/>
    <w:rsid w:val="00E87D06"/>
    <w:rsid w:val="00E907E9"/>
    <w:rsid w:val="00E92A68"/>
    <w:rsid w:val="00E948ED"/>
    <w:rsid w:val="00E9525F"/>
    <w:rsid w:val="00E95641"/>
    <w:rsid w:val="00E95F4C"/>
    <w:rsid w:val="00E97035"/>
    <w:rsid w:val="00E97683"/>
    <w:rsid w:val="00E97E00"/>
    <w:rsid w:val="00EA1028"/>
    <w:rsid w:val="00EA18B7"/>
    <w:rsid w:val="00EA2341"/>
    <w:rsid w:val="00EA33CB"/>
    <w:rsid w:val="00EA56D4"/>
    <w:rsid w:val="00EA7F63"/>
    <w:rsid w:val="00EB0B36"/>
    <w:rsid w:val="00EB1522"/>
    <w:rsid w:val="00EB25E8"/>
    <w:rsid w:val="00EB498B"/>
    <w:rsid w:val="00EB5F6E"/>
    <w:rsid w:val="00EC10C1"/>
    <w:rsid w:val="00EC19F2"/>
    <w:rsid w:val="00EC1AF0"/>
    <w:rsid w:val="00EC576D"/>
    <w:rsid w:val="00EC5CA1"/>
    <w:rsid w:val="00ED72B6"/>
    <w:rsid w:val="00EE3DD1"/>
    <w:rsid w:val="00EE60FD"/>
    <w:rsid w:val="00EF00F9"/>
    <w:rsid w:val="00EF25F3"/>
    <w:rsid w:val="00EF26C5"/>
    <w:rsid w:val="00EF38B5"/>
    <w:rsid w:val="00EF42FF"/>
    <w:rsid w:val="00EF461E"/>
    <w:rsid w:val="00EF49C0"/>
    <w:rsid w:val="00EF75D8"/>
    <w:rsid w:val="00F042B7"/>
    <w:rsid w:val="00F0483E"/>
    <w:rsid w:val="00F0489E"/>
    <w:rsid w:val="00F05C9E"/>
    <w:rsid w:val="00F1253F"/>
    <w:rsid w:val="00F13A46"/>
    <w:rsid w:val="00F13B86"/>
    <w:rsid w:val="00F14F7A"/>
    <w:rsid w:val="00F15754"/>
    <w:rsid w:val="00F17B13"/>
    <w:rsid w:val="00F209A4"/>
    <w:rsid w:val="00F20A21"/>
    <w:rsid w:val="00F22F06"/>
    <w:rsid w:val="00F231A1"/>
    <w:rsid w:val="00F2526E"/>
    <w:rsid w:val="00F27AFC"/>
    <w:rsid w:val="00F31478"/>
    <w:rsid w:val="00F33FF6"/>
    <w:rsid w:val="00F34454"/>
    <w:rsid w:val="00F34C12"/>
    <w:rsid w:val="00F35C13"/>
    <w:rsid w:val="00F35C9C"/>
    <w:rsid w:val="00F36C6F"/>
    <w:rsid w:val="00F37A21"/>
    <w:rsid w:val="00F41302"/>
    <w:rsid w:val="00F41C85"/>
    <w:rsid w:val="00F42671"/>
    <w:rsid w:val="00F42AAA"/>
    <w:rsid w:val="00F43618"/>
    <w:rsid w:val="00F43A53"/>
    <w:rsid w:val="00F43CA9"/>
    <w:rsid w:val="00F4627F"/>
    <w:rsid w:val="00F476FE"/>
    <w:rsid w:val="00F50946"/>
    <w:rsid w:val="00F50D63"/>
    <w:rsid w:val="00F5331C"/>
    <w:rsid w:val="00F62B90"/>
    <w:rsid w:val="00F6373B"/>
    <w:rsid w:val="00F650CA"/>
    <w:rsid w:val="00F659B1"/>
    <w:rsid w:val="00F67EB5"/>
    <w:rsid w:val="00F706B5"/>
    <w:rsid w:val="00F748E5"/>
    <w:rsid w:val="00F75828"/>
    <w:rsid w:val="00F75ED0"/>
    <w:rsid w:val="00F76343"/>
    <w:rsid w:val="00F76E2D"/>
    <w:rsid w:val="00F83B60"/>
    <w:rsid w:val="00F8415E"/>
    <w:rsid w:val="00F8535F"/>
    <w:rsid w:val="00F85F13"/>
    <w:rsid w:val="00F866A0"/>
    <w:rsid w:val="00F87DE9"/>
    <w:rsid w:val="00F909C4"/>
    <w:rsid w:val="00F92E82"/>
    <w:rsid w:val="00F940F6"/>
    <w:rsid w:val="00F94855"/>
    <w:rsid w:val="00F95167"/>
    <w:rsid w:val="00F96C3E"/>
    <w:rsid w:val="00F97DB3"/>
    <w:rsid w:val="00F97E87"/>
    <w:rsid w:val="00FA0B32"/>
    <w:rsid w:val="00FA1BE1"/>
    <w:rsid w:val="00FA4C16"/>
    <w:rsid w:val="00FA5C36"/>
    <w:rsid w:val="00FA6597"/>
    <w:rsid w:val="00FA65FE"/>
    <w:rsid w:val="00FA70E2"/>
    <w:rsid w:val="00FA7E06"/>
    <w:rsid w:val="00FB1017"/>
    <w:rsid w:val="00FB1FDC"/>
    <w:rsid w:val="00FB2E0E"/>
    <w:rsid w:val="00FB6E5E"/>
    <w:rsid w:val="00FC14FB"/>
    <w:rsid w:val="00FC2BA4"/>
    <w:rsid w:val="00FC6294"/>
    <w:rsid w:val="00FD06C6"/>
    <w:rsid w:val="00FD0EA8"/>
    <w:rsid w:val="00FD34E4"/>
    <w:rsid w:val="00FD3B05"/>
    <w:rsid w:val="00FD68AB"/>
    <w:rsid w:val="00FE08A9"/>
    <w:rsid w:val="00FE2806"/>
    <w:rsid w:val="00FE29BF"/>
    <w:rsid w:val="00FF184E"/>
    <w:rsid w:val="00FF2EE9"/>
    <w:rsid w:val="00FF31BC"/>
    <w:rsid w:val="00FF32DC"/>
    <w:rsid w:val="00FF47B7"/>
    <w:rsid w:val="00FF4ABC"/>
    <w:rsid w:val="00FF6B97"/>
    <w:rsid w:val="00FF7526"/>
    <w:rsid w:val="054B384A"/>
    <w:rsid w:val="0B5C4E7D"/>
    <w:rsid w:val="0FAB58B7"/>
    <w:rsid w:val="1446022C"/>
    <w:rsid w:val="2DF91AC5"/>
    <w:rsid w:val="3A8F33C8"/>
    <w:rsid w:val="51735DE1"/>
    <w:rsid w:val="56B567B5"/>
    <w:rsid w:val="582B03CB"/>
    <w:rsid w:val="63D53BCC"/>
    <w:rsid w:val="65C564B8"/>
    <w:rsid w:val="6AAB00E6"/>
    <w:rsid w:val="72D47E69"/>
    <w:rsid w:val="77B768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8"/>
    <w:qFormat/>
    <w:uiPriority w:val="99"/>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qFormat/>
    <w:uiPriority w:val="99"/>
    <w:pPr>
      <w:jc w:val="left"/>
    </w:pPr>
  </w:style>
  <w:style w:type="paragraph" w:styleId="5">
    <w:name w:val="Balloon Text"/>
    <w:basedOn w:val="1"/>
    <w:link w:val="21"/>
    <w:semiHidden/>
    <w:qFormat/>
    <w:uiPriority w:val="99"/>
    <w:rPr>
      <w:sz w:val="18"/>
      <w:szCs w:val="18"/>
    </w:rPr>
  </w:style>
  <w:style w:type="paragraph" w:styleId="6">
    <w:name w:val="footer"/>
    <w:basedOn w:val="1"/>
    <w:link w:val="22"/>
    <w:qFormat/>
    <w:uiPriority w:val="99"/>
    <w:pPr>
      <w:tabs>
        <w:tab w:val="center" w:pos="4153"/>
        <w:tab w:val="right" w:pos="8306"/>
      </w:tabs>
      <w:snapToGrid w:val="0"/>
      <w:jc w:val="left"/>
    </w:pPr>
    <w:rPr>
      <w:rFonts w:ascii="等线" w:hAnsi="等线" w:eastAsia="等线"/>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8">
    <w:name w:val="footnote text"/>
    <w:basedOn w:val="1"/>
    <w:link w:val="24"/>
    <w:semiHidden/>
    <w:qFormat/>
    <w:uiPriority w:val="99"/>
    <w:pPr>
      <w:snapToGrid w:val="0"/>
      <w:jc w:val="left"/>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5"/>
    <w:semiHidden/>
    <w:qFormat/>
    <w:uiPriority w:val="99"/>
    <w:rPr>
      <w:b/>
      <w:bCs/>
    </w:rPr>
  </w:style>
  <w:style w:type="table" w:styleId="12">
    <w:name w:val="Table Grid"/>
    <w:basedOn w:val="11"/>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99"/>
    <w:rPr>
      <w:rFonts w:cs="Times New Roman"/>
    </w:rPr>
  </w:style>
  <w:style w:type="character" w:styleId="15">
    <w:name w:val="Emphasis"/>
    <w:basedOn w:val="13"/>
    <w:qFormat/>
    <w:uiPriority w:val="99"/>
    <w:rPr>
      <w:rFonts w:cs="Times New Roman"/>
      <w:i/>
      <w:iCs/>
    </w:rPr>
  </w:style>
  <w:style w:type="character" w:styleId="16">
    <w:name w:val="annotation reference"/>
    <w:basedOn w:val="13"/>
    <w:semiHidden/>
    <w:qFormat/>
    <w:uiPriority w:val="99"/>
    <w:rPr>
      <w:rFonts w:cs="Times New Roman"/>
      <w:sz w:val="21"/>
      <w:szCs w:val="21"/>
    </w:rPr>
  </w:style>
  <w:style w:type="character" w:styleId="17">
    <w:name w:val="footnote reference"/>
    <w:basedOn w:val="13"/>
    <w:semiHidden/>
    <w:qFormat/>
    <w:uiPriority w:val="99"/>
    <w:rPr>
      <w:rFonts w:cs="Times New Roman"/>
      <w:vertAlign w:val="superscript"/>
    </w:rPr>
  </w:style>
  <w:style w:type="character" w:customStyle="1" w:styleId="18">
    <w:name w:val="Heading 2 Char"/>
    <w:basedOn w:val="13"/>
    <w:link w:val="2"/>
    <w:qFormat/>
    <w:locked/>
    <w:uiPriority w:val="99"/>
    <w:rPr>
      <w:rFonts w:ascii="等线 Light" w:hAnsi="等线 Light" w:eastAsia="等线 Light" w:cs="Times New Roman"/>
      <w:b/>
      <w:bCs/>
      <w:sz w:val="32"/>
      <w:szCs w:val="32"/>
    </w:rPr>
  </w:style>
  <w:style w:type="character" w:customStyle="1" w:styleId="19">
    <w:name w:val="Heading 3 Char"/>
    <w:basedOn w:val="13"/>
    <w:link w:val="3"/>
    <w:qFormat/>
    <w:locked/>
    <w:uiPriority w:val="99"/>
    <w:rPr>
      <w:rFonts w:ascii="Times New Roman" w:hAnsi="Times New Roman" w:eastAsia="宋体" w:cs="Times New Roman"/>
      <w:b/>
      <w:bCs/>
      <w:sz w:val="32"/>
      <w:szCs w:val="32"/>
    </w:rPr>
  </w:style>
  <w:style w:type="character" w:customStyle="1" w:styleId="20">
    <w:name w:val="Comment Text Char"/>
    <w:basedOn w:val="13"/>
    <w:link w:val="4"/>
    <w:semiHidden/>
    <w:qFormat/>
    <w:locked/>
    <w:uiPriority w:val="99"/>
    <w:rPr>
      <w:rFonts w:ascii="Times New Roman" w:hAnsi="Times New Roman" w:eastAsia="宋体" w:cs="Times New Roman"/>
      <w:sz w:val="21"/>
      <w:szCs w:val="21"/>
    </w:rPr>
  </w:style>
  <w:style w:type="character" w:customStyle="1" w:styleId="21">
    <w:name w:val="Balloon Text Char"/>
    <w:basedOn w:val="13"/>
    <w:link w:val="5"/>
    <w:semiHidden/>
    <w:qFormat/>
    <w:locked/>
    <w:uiPriority w:val="99"/>
    <w:rPr>
      <w:rFonts w:ascii="Times New Roman" w:hAnsi="Times New Roman" w:eastAsia="宋体" w:cs="Times New Roman"/>
      <w:sz w:val="18"/>
      <w:szCs w:val="18"/>
    </w:rPr>
  </w:style>
  <w:style w:type="character" w:customStyle="1" w:styleId="22">
    <w:name w:val="Footer Char"/>
    <w:basedOn w:val="13"/>
    <w:link w:val="6"/>
    <w:qFormat/>
    <w:locked/>
    <w:uiPriority w:val="99"/>
    <w:rPr>
      <w:rFonts w:cs="Times New Roman"/>
      <w:sz w:val="18"/>
      <w:szCs w:val="18"/>
    </w:rPr>
  </w:style>
  <w:style w:type="character" w:customStyle="1" w:styleId="23">
    <w:name w:val="Header Char"/>
    <w:basedOn w:val="13"/>
    <w:link w:val="7"/>
    <w:qFormat/>
    <w:locked/>
    <w:uiPriority w:val="99"/>
    <w:rPr>
      <w:rFonts w:cs="Times New Roman"/>
      <w:sz w:val="18"/>
      <w:szCs w:val="18"/>
    </w:rPr>
  </w:style>
  <w:style w:type="character" w:customStyle="1" w:styleId="24">
    <w:name w:val="Footnote Text Char"/>
    <w:basedOn w:val="13"/>
    <w:link w:val="8"/>
    <w:semiHidden/>
    <w:qFormat/>
    <w:locked/>
    <w:uiPriority w:val="99"/>
    <w:rPr>
      <w:rFonts w:ascii="Times New Roman" w:hAnsi="Times New Roman" w:eastAsia="宋体" w:cs="Times New Roman"/>
      <w:sz w:val="18"/>
      <w:szCs w:val="18"/>
    </w:rPr>
  </w:style>
  <w:style w:type="character" w:customStyle="1" w:styleId="25">
    <w:name w:val="Comment Subject Char"/>
    <w:basedOn w:val="20"/>
    <w:link w:val="10"/>
    <w:semiHidden/>
    <w:qFormat/>
    <w:locked/>
    <w:uiPriority w:val="99"/>
    <w:rPr>
      <w:b/>
      <w:bCs/>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454</Words>
  <Characters>2593</Characters>
  <Lines>0</Lines>
  <Paragraphs>0</Paragraphs>
  <TotalTime>59</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2020-05-25T07:23:00Z</dcterms:created>
  <dc:creator>王建梅</dc:creator>
  <cp:lastModifiedBy>dell1212</cp:lastModifiedBy>
  <cp:lastPrinted>2020-05-29T08:02:00Z</cp:lastPrinted>
  <dcterms:modified xsi:type="dcterms:W3CDTF">2020-06-09T01:36:08Z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