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/>
        <w:spacing w:line="240" w:lineRule="auto"/>
        <w:textAlignment w:val="auto"/>
        <w:rPr>
          <w:rFonts w:cs="Times New Roman" w:asciiTheme="minorEastAsia" w:hAnsiTheme="minorEastAsia" w:eastAsiaTheme="minorEastAsia"/>
          <w:bCs/>
          <w:sz w:val="28"/>
        </w:rPr>
      </w:pPr>
      <w:r>
        <w:rPr>
          <w:rFonts w:hint="eastAsia" w:cs="Times New Roman" w:asciiTheme="minorEastAsia" w:hAnsiTheme="minorEastAsia" w:eastAsiaTheme="minorEastAsia"/>
          <w:bCs/>
          <w:sz w:val="28"/>
        </w:rPr>
        <w:t>附件1</w:t>
      </w: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spacing w:line="600" w:lineRule="exact"/>
        <w:jc w:val="center"/>
        <w:rPr>
          <w:rFonts w:ascii="微软雅黑" w:hAnsi="微软雅黑" w:eastAsia="微软雅黑"/>
          <w:b/>
          <w:color w:val="000000"/>
          <w:kern w:val="36"/>
          <w:sz w:val="44"/>
          <w:szCs w:val="44"/>
        </w:rPr>
      </w:pPr>
      <w:r>
        <w:rPr>
          <w:rFonts w:hint="eastAsia" w:ascii="微软雅黑" w:hAnsi="微软雅黑" w:eastAsia="微软雅黑"/>
          <w:b/>
          <w:color w:val="000000"/>
          <w:kern w:val="36"/>
          <w:sz w:val="44"/>
          <w:szCs w:val="44"/>
        </w:rPr>
        <w:t>高精尖产业</w:t>
      </w:r>
    </w:p>
    <w:p>
      <w:pPr>
        <w:spacing w:line="600" w:lineRule="exact"/>
        <w:jc w:val="center"/>
        <w:rPr>
          <w:rFonts w:ascii="微软雅黑" w:hAnsi="微软雅黑" w:eastAsia="微软雅黑"/>
          <w:b/>
          <w:color w:val="000000"/>
          <w:kern w:val="36"/>
          <w:sz w:val="44"/>
          <w:szCs w:val="44"/>
        </w:rPr>
      </w:pPr>
      <w:r>
        <w:rPr>
          <w:rFonts w:hint="eastAsia" w:ascii="微软雅黑" w:hAnsi="微软雅黑" w:eastAsia="微软雅黑"/>
          <w:b/>
          <w:color w:val="000000"/>
          <w:kern w:val="36"/>
          <w:sz w:val="44"/>
          <w:szCs w:val="44"/>
        </w:rPr>
        <w:t>技能提升培训补贴申报系统</w:t>
      </w:r>
    </w:p>
    <w:p>
      <w:pPr>
        <w:spacing w:line="600" w:lineRule="exact"/>
        <w:jc w:val="center"/>
        <w:rPr>
          <w:rFonts w:ascii="微软雅黑" w:hAnsi="微软雅黑" w:eastAsia="微软雅黑"/>
          <w:b/>
          <w:color w:val="000000"/>
          <w:kern w:val="36"/>
          <w:sz w:val="44"/>
          <w:szCs w:val="44"/>
        </w:rPr>
      </w:pPr>
      <w:r>
        <w:rPr>
          <w:rFonts w:hint="eastAsia" w:ascii="微软雅黑" w:hAnsi="微软雅黑" w:eastAsia="微软雅黑"/>
          <w:b/>
          <w:color w:val="000000"/>
          <w:kern w:val="36"/>
          <w:sz w:val="44"/>
          <w:szCs w:val="44"/>
        </w:rPr>
        <w:t>使用说明书</w:t>
      </w: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widowControl/>
        <w:adjustRightInd/>
        <w:spacing w:line="240" w:lineRule="auto"/>
        <w:jc w:val="center"/>
        <w:textAlignment w:val="auto"/>
        <w:rPr>
          <w:rFonts w:ascii="微软雅黑" w:hAnsi="微软雅黑" w:eastAsia="微软雅黑" w:cs="Times New Roman"/>
          <w:b/>
          <w:bCs/>
          <w:sz w:val="28"/>
          <w:szCs w:val="28"/>
        </w:rPr>
      </w:pPr>
      <w:r>
        <w:rPr>
          <w:rFonts w:hint="eastAsia" w:ascii="微软雅黑" w:hAnsi="微软雅黑" w:eastAsia="微软雅黑" w:cs="Times New Roman"/>
          <w:b/>
          <w:bCs/>
          <w:sz w:val="28"/>
          <w:szCs w:val="28"/>
        </w:rPr>
        <w:t>（企业用户）</w:t>
      </w: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widowControl/>
        <w:adjustRightInd/>
        <w:spacing w:line="360" w:lineRule="auto"/>
        <w:ind w:left="1200" w:leftChars="500"/>
        <w:textAlignment w:val="auto"/>
        <w:rPr>
          <w:rFonts w:ascii="微软雅黑" w:hAnsi="微软雅黑" w:eastAsia="微软雅黑" w:cs="Times New Roman"/>
          <w:bCs/>
          <w:sz w:val="28"/>
        </w:rPr>
      </w:pP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  <w:r>
        <w:rPr>
          <w:rFonts w:ascii="微软雅黑" w:hAnsi="微软雅黑" w:eastAsia="微软雅黑" w:cs="Times New Roman"/>
          <w:bCs/>
        </w:rPr>
        <w:br w:type="page"/>
      </w: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  <w:sz w:val="28"/>
        </w:rPr>
      </w:pP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  <w:sz w:val="28"/>
        </w:rPr>
        <w:tab/>
      </w:r>
      <w:r>
        <w:rPr>
          <w:rFonts w:hint="eastAsia" w:ascii="微软雅黑" w:hAnsi="微软雅黑" w:eastAsia="微软雅黑" w:cs="Times New Roman"/>
          <w:bCs/>
          <w:sz w:val="28"/>
        </w:rPr>
        <w:t>目          录</w:t>
      </w:r>
    </w:p>
    <w:p>
      <w:pPr>
        <w:pStyle w:val="5"/>
        <w:tabs>
          <w:tab w:val="right" w:leader="dot" w:pos="8306"/>
        </w:tabs>
        <w:ind w:left="480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instrText xml:space="preserve"> TOC \o "1-5" \h \z \u </w:instrText>
      </w: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fldChar w:fldCharType="separate"/>
      </w:r>
      <w:r>
        <w:fldChar w:fldCharType="begin"/>
      </w:r>
      <w:r>
        <w:instrText xml:space="preserve"> HYPERLINK \l "_Toc29216"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 注册登录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_Toc29216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"_Toc10907"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1.1.1 进入系统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_Toc10907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"_Toc11236"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1.1.2 注册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_Toc11236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"_Toc1273"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1.1.3 登录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_Toc1273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3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"_Toc146"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1.1.4 忘记密码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_Toc146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4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"_Toc14829"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1.1.5 选择填报的类型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_Toc14829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5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"_Toc1878"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1.1.6 修改密码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_Toc1878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5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"_Toc30937"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1.1.7 退出登录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_Toc30937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5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5"/>
        <w:tabs>
          <w:tab w:val="right" w:leader="dot" w:pos="8306"/>
        </w:tabs>
        <w:ind w:left="48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"_Toc1163"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1.2 新建申报补贴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_Toc1163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6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"_Toc14453"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1.2.1 企业申报表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_Toc14453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6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"_Toc28835"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1.2.2 人员花名册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_Toc28835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7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"_Toc392"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1.2.3 培训方案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_Toc392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7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"_Toc17152"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1.2.4 其他申报材料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_Toc17152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8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"_Toc207"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1.2.5 合规审验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_Toc207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9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5"/>
        <w:tabs>
          <w:tab w:val="right" w:leader="dot" w:pos="8306"/>
        </w:tabs>
        <w:ind w:left="48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"_Toc25769"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1.3 查看申报补贴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_Toc25769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9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"_Toc13686"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1.3.1 筛选列表内容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_Toc13686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10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"_Toc4465"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1.3.2 列表内容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_Toc4465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10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"_Toc2059"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1.3.3 下载申请表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_Toc2059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5"/>
        <w:tabs>
          <w:tab w:val="right" w:leader="dot" w:pos="8306"/>
        </w:tabs>
        <w:ind w:left="48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"_Toc25483"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1.4 历史申报查询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_Toc25483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12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5"/>
        <w:tabs>
          <w:tab w:val="right" w:leader="dot" w:pos="8306"/>
        </w:tabs>
        <w:ind w:left="48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"_Toc13904"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1.5 企业信息维护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_Toc13904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13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8"/>
        <w:ind w:left="0"/>
        <w:rPr>
          <w:rFonts w:ascii="微软雅黑" w:hAnsi="微软雅黑" w:eastAsia="微软雅黑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start="0"/>
          <w:cols w:space="425" w:num="1"/>
          <w:titlePg/>
          <w:docGrid w:type="lines" w:linePitch="326" w:charSpace="0"/>
        </w:sectPr>
      </w:pP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fldChar w:fldCharType="end"/>
      </w:r>
      <w:bookmarkStart w:id="0" w:name="_Toc29216"/>
    </w:p>
    <w:p>
      <w:pPr>
        <w:pStyle w:val="8"/>
        <w:numPr>
          <w:ilvl w:val="0"/>
          <w:numId w:val="0"/>
        </w:num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1.1注册登录</w:t>
      </w:r>
      <w:bookmarkEnd w:id="0"/>
    </w:p>
    <w:p>
      <w:pPr>
        <w:pStyle w:val="9"/>
        <w:spacing w:line="500" w:lineRule="exact"/>
        <w:rPr>
          <w:rFonts w:ascii="微软雅黑" w:hAnsi="微软雅黑" w:eastAsia="微软雅黑"/>
          <w:szCs w:val="22"/>
        </w:rPr>
      </w:pPr>
      <w:bookmarkStart w:id="1" w:name="_Toc10907"/>
      <w:r>
        <w:rPr>
          <w:rFonts w:hint="eastAsia" w:ascii="微软雅黑" w:hAnsi="微软雅黑" w:eastAsia="微软雅黑"/>
          <w:szCs w:val="22"/>
        </w:rPr>
        <w:t>进入系统</w:t>
      </w:r>
      <w:bookmarkEnd w:id="1"/>
    </w:p>
    <w:p>
      <w:pPr>
        <w:pStyle w:val="10"/>
        <w:spacing w:line="500" w:lineRule="exact"/>
        <w:ind w:firstLine="480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>访问网址</w:t>
      </w:r>
      <w:r>
        <w:fldChar w:fldCharType="begin"/>
      </w:r>
      <w:r>
        <w:instrText xml:space="preserve"> HYPERLINK "http://kw.beijing.gov.cn/" </w:instrText>
      </w:r>
      <w:r>
        <w:fldChar w:fldCharType="separate"/>
      </w:r>
      <w:r>
        <w:rPr>
          <w:rFonts w:hint="eastAsia" w:ascii="微软雅黑" w:hAnsi="微软雅黑" w:eastAsia="微软雅黑"/>
          <w:szCs w:val="22"/>
        </w:rPr>
        <w:t>http://kw.beijing.gov.cn</w:t>
      </w:r>
      <w:r>
        <w:rPr>
          <w:rFonts w:hint="eastAsia" w:ascii="微软雅黑" w:hAnsi="微软雅黑" w:eastAsia="微软雅黑"/>
          <w:szCs w:val="22"/>
        </w:rPr>
        <w:fldChar w:fldCharType="end"/>
      </w:r>
      <w:r>
        <w:rPr>
          <w:rFonts w:hint="eastAsia" w:ascii="微软雅黑" w:hAnsi="微软雅黑" w:eastAsia="微软雅黑"/>
          <w:szCs w:val="22"/>
        </w:rPr>
        <w:t>，进入北京市科学技术委员会官网，在首页“资源·服务”板块，点击“北京市高精尖产业技能提示”跳转进入系统。</w:t>
      </w:r>
    </w:p>
    <w:p>
      <w:pPr>
        <w:pStyle w:val="9"/>
        <w:numPr>
          <w:ilvl w:val="2"/>
          <w:numId w:val="0"/>
        </w:numPr>
        <w:jc w:val="center"/>
        <w:rPr>
          <w:rFonts w:ascii="微软雅黑" w:hAnsi="微软雅黑"/>
          <w:szCs w:val="22"/>
        </w:rPr>
      </w:pPr>
      <w:bookmarkStart w:id="2" w:name="_Toc25107"/>
      <w:r>
        <w:drawing>
          <wp:inline distT="0" distB="0" distL="114300" distR="114300">
            <wp:extent cx="2918460" cy="1299845"/>
            <wp:effectExtent l="0" t="0" r="15240" b="1460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>
      <w:pPr>
        <w:pStyle w:val="10"/>
        <w:spacing w:line="500" w:lineRule="exact"/>
        <w:ind w:firstLine="480"/>
        <w:jc w:val="center"/>
      </w:pPr>
      <w:r>
        <w:rPr>
          <w:rStyle w:val="11"/>
          <w:rFonts w:hint="eastAsia" w:ascii="微软雅黑" w:hAnsi="微软雅黑" w:eastAsia="微软雅黑"/>
        </w:rPr>
        <w:t>图1-0</w:t>
      </w:r>
    </w:p>
    <w:p>
      <w:pPr>
        <w:pStyle w:val="9"/>
        <w:spacing w:line="500" w:lineRule="exact"/>
        <w:rPr>
          <w:rFonts w:ascii="微软雅黑" w:hAnsi="微软雅黑" w:eastAsia="微软雅黑"/>
        </w:rPr>
      </w:pPr>
      <w:bookmarkStart w:id="3" w:name="_Toc11236"/>
      <w:bookmarkStart w:id="4" w:name="_Toc37868260"/>
      <w:r>
        <w:rPr>
          <w:rFonts w:hint="eastAsia" w:ascii="微软雅黑" w:hAnsi="微软雅黑" w:eastAsia="微软雅黑"/>
        </w:rPr>
        <w:t>注册</w:t>
      </w:r>
      <w:bookmarkEnd w:id="3"/>
      <w:bookmarkEnd w:id="4"/>
    </w:p>
    <w:p>
      <w:pPr>
        <w:pStyle w:val="10"/>
        <w:spacing w:line="500" w:lineRule="exact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在第一次进入系统后，需要注册账号才能使用本系统。点击“立即注册”按钮进入注册流程。</w:t>
      </w:r>
    </w:p>
    <w:p>
      <w:pPr>
        <w:pStyle w:val="10"/>
        <w:ind w:firstLine="0" w:firstLineChars="0"/>
        <w:jc w:val="center"/>
      </w:pPr>
      <w:r>
        <w:drawing>
          <wp:inline distT="0" distB="0" distL="114300" distR="114300">
            <wp:extent cx="2729865" cy="1607185"/>
            <wp:effectExtent l="0" t="0" r="13335" b="1206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</w:pPr>
      <w:r>
        <w:rPr>
          <w:rStyle w:val="11"/>
          <w:rFonts w:hint="eastAsia" w:ascii="微软雅黑" w:hAnsi="微软雅黑" w:eastAsia="微软雅黑"/>
        </w:rPr>
        <w:t>图1-1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点击“立即注册”后，弹出如图1-2的免责页面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2462530" cy="1426210"/>
            <wp:effectExtent l="0" t="0" r="13970" b="254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图1-2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点击“同意”之后进入注册表单填写页面。在表单填写页中，需要输入用户的注册信息和注册企业的基本信息，信息如图1-3所示</w:t>
      </w:r>
    </w:p>
    <w:p>
      <w:pPr>
        <w:pStyle w:val="10"/>
        <w:ind w:firstLine="0" w:firstLineChars="0"/>
        <w:jc w:val="center"/>
      </w:pPr>
      <w:r>
        <w:drawing>
          <wp:inline distT="0" distB="0" distL="114300" distR="114300">
            <wp:extent cx="2620645" cy="1539240"/>
            <wp:effectExtent l="0" t="0" r="8255" b="381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jc w:val="center"/>
      </w:pPr>
      <w:r>
        <w:drawing>
          <wp:inline distT="0" distB="0" distL="114300" distR="114300">
            <wp:extent cx="2675890" cy="1578610"/>
            <wp:effectExtent l="0" t="0" r="10160" b="254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图1-3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“用户注册信息”均为必填项，用户名为登录系统所输入的名称，密码为登录密码。“填写符合上述要求的信息后，点击“注册”按钮完成注册。注册完成后，等待审核通过，即可登录系统。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注：单位合法登记证明只可以上传一张图片。国家高新技术企业上传、科技型中小企业、科技服务机构、重大项目/重点科研任务名称至少提供期中一项。</w:t>
      </w:r>
    </w:p>
    <w:p>
      <w:pPr>
        <w:pStyle w:val="9"/>
        <w:rPr>
          <w:rFonts w:ascii="微软雅黑" w:hAnsi="微软雅黑" w:eastAsia="微软雅黑"/>
        </w:rPr>
      </w:pPr>
      <w:bookmarkStart w:id="5" w:name="_Toc1273"/>
      <w:bookmarkStart w:id="6" w:name="_Toc37868261"/>
      <w:r>
        <w:rPr>
          <w:rFonts w:hint="eastAsia" w:ascii="微软雅黑" w:hAnsi="微软雅黑" w:eastAsia="微软雅黑"/>
        </w:rPr>
        <w:t>登录</w:t>
      </w:r>
      <w:bookmarkEnd w:id="5"/>
      <w:bookmarkEnd w:id="6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在注册完成之后，可以利用注册时填写的用户名和密码登录系统。在系统登录页面，输入注册时的用户名和与之匹配的密码，输入验证码（点击验证码可以更换新验证码），点击登录即可进入系统</w:t>
      </w:r>
    </w:p>
    <w:p>
      <w:pPr>
        <w:pStyle w:val="10"/>
        <w:ind w:firstLine="0" w:firstLineChars="0"/>
        <w:jc w:val="center"/>
      </w:pPr>
      <w:r>
        <w:drawing>
          <wp:inline distT="0" distB="0" distL="114300" distR="114300">
            <wp:extent cx="2728595" cy="1588135"/>
            <wp:effectExtent l="0" t="0" r="14605" b="1206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</w:pPr>
      <w:r>
        <w:rPr>
          <w:rStyle w:val="11"/>
          <w:rFonts w:hint="eastAsia" w:ascii="微软雅黑" w:hAnsi="微软雅黑" w:eastAsia="微软雅黑"/>
        </w:rPr>
        <w:t>图1-4</w:t>
      </w:r>
    </w:p>
    <w:p>
      <w:pPr>
        <w:pStyle w:val="9"/>
        <w:rPr>
          <w:rFonts w:ascii="微软雅黑" w:hAnsi="微软雅黑" w:eastAsia="微软雅黑"/>
        </w:rPr>
      </w:pPr>
      <w:bookmarkStart w:id="7" w:name="_Toc146"/>
      <w:bookmarkStart w:id="8" w:name="_Toc37868262"/>
      <w:r>
        <w:rPr>
          <w:rFonts w:hint="eastAsia" w:ascii="微软雅黑" w:hAnsi="微软雅黑" w:eastAsia="微软雅黑"/>
        </w:rPr>
        <w:t>忘记密码</w:t>
      </w:r>
      <w:bookmarkEnd w:id="7"/>
      <w:bookmarkEnd w:id="8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如果忘记登录密码，企业端不支持重置密码操作，需用户自行线下联系管理员，由相应的管理员进行重置密码操作。如图1-5。</w:t>
      </w:r>
    </w:p>
    <w:p>
      <w:pPr>
        <w:pStyle w:val="10"/>
        <w:ind w:firstLine="0" w:firstLineChars="0"/>
        <w:jc w:val="center"/>
      </w:pPr>
      <w:r>
        <w:drawing>
          <wp:inline distT="0" distB="0" distL="114300" distR="114300">
            <wp:extent cx="2646680" cy="1648460"/>
            <wp:effectExtent l="0" t="0" r="1270" b="889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jc w:val="center"/>
      </w:pPr>
      <w:r>
        <w:rPr>
          <w:rFonts w:hint="eastAsia"/>
        </w:rPr>
        <w:t>图1-5</w:t>
      </w:r>
    </w:p>
    <w:p>
      <w:pPr>
        <w:pStyle w:val="10"/>
        <w:ind w:firstLine="0" w:firstLineChars="0"/>
        <w:jc w:val="center"/>
      </w:pPr>
    </w:p>
    <w:p>
      <w:pPr>
        <w:pStyle w:val="9"/>
        <w:rPr>
          <w:rFonts w:ascii="微软雅黑" w:hAnsi="微软雅黑" w:eastAsia="微软雅黑"/>
        </w:rPr>
      </w:pPr>
      <w:bookmarkStart w:id="9" w:name="_Toc14829"/>
      <w:r>
        <w:rPr>
          <w:rFonts w:hint="eastAsia" w:ascii="微软雅黑" w:hAnsi="微软雅黑" w:eastAsia="微软雅黑"/>
        </w:rPr>
        <w:t>选择填报的类型</w:t>
      </w:r>
      <w:bookmarkEnd w:id="9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点击培训补贴，进入培训补贴申请如图</w:t>
      </w:r>
    </w:p>
    <w:p>
      <w:pPr>
        <w:jc w:val="center"/>
      </w:pPr>
      <w:r>
        <w:drawing>
          <wp:inline distT="0" distB="0" distL="114300" distR="114300">
            <wp:extent cx="2883535" cy="1515745"/>
            <wp:effectExtent l="0" t="0" r="12065" b="825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/>
        <w:jc w:val="center"/>
        <w:rPr>
          <w:rStyle w:val="11"/>
          <w:rFonts w:ascii="微软雅黑" w:hAnsi="微软雅黑" w:eastAsia="微软雅黑"/>
          <w:sz w:val="21"/>
          <w:szCs w:val="22"/>
        </w:rPr>
      </w:pPr>
      <w:r>
        <w:rPr>
          <w:rStyle w:val="11"/>
          <w:rFonts w:hint="eastAsia" w:ascii="微软雅黑" w:hAnsi="微软雅黑" w:eastAsia="微软雅黑"/>
          <w:sz w:val="21"/>
          <w:szCs w:val="22"/>
        </w:rPr>
        <w:t>图 1-6</w:t>
      </w:r>
    </w:p>
    <w:p>
      <w:pPr>
        <w:pStyle w:val="9"/>
        <w:rPr>
          <w:rFonts w:ascii="微软雅黑" w:hAnsi="微软雅黑" w:eastAsia="微软雅黑"/>
        </w:rPr>
      </w:pPr>
      <w:bookmarkStart w:id="10" w:name="_Toc1878"/>
      <w:bookmarkStart w:id="11" w:name="_Toc37868263"/>
      <w:r>
        <w:rPr>
          <w:rFonts w:hint="eastAsia" w:ascii="微软雅黑" w:hAnsi="微软雅黑" w:eastAsia="微软雅黑"/>
        </w:rPr>
        <w:t>修改密码</w:t>
      </w:r>
      <w:bookmarkEnd w:id="10"/>
      <w:bookmarkEnd w:id="11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用户在登录成功之后可以在图1-7处修改密码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988945" cy="843280"/>
            <wp:effectExtent l="0" t="0" r="1905" b="13970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图1-7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点击修改密码之后弹出修改栏目，输入原始密码和修改后的密码之后即可修改完成。</w:t>
      </w:r>
    </w:p>
    <w:p>
      <w:pPr>
        <w:pStyle w:val="9"/>
        <w:rPr>
          <w:rFonts w:ascii="微软雅黑" w:hAnsi="微软雅黑" w:eastAsia="微软雅黑"/>
        </w:rPr>
      </w:pPr>
      <w:bookmarkStart w:id="12" w:name="_Toc30937"/>
      <w:bookmarkStart w:id="13" w:name="_Toc37868264"/>
      <w:r>
        <w:rPr>
          <w:rFonts w:hint="eastAsia" w:ascii="微软雅黑" w:hAnsi="微软雅黑" w:eastAsia="微软雅黑"/>
        </w:rPr>
        <w:t>退出登录</w:t>
      </w:r>
      <w:bookmarkEnd w:id="12"/>
      <w:bookmarkEnd w:id="13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成功登录后，用户可以随时退出系统。点击如图1-8位置，即可退出系统。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893060" cy="687705"/>
            <wp:effectExtent l="0" t="0" r="2540" b="17145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68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图1-8</w:t>
      </w:r>
    </w:p>
    <w:p>
      <w:pPr>
        <w:rPr>
          <w:rFonts w:ascii="微软雅黑" w:hAnsi="微软雅黑" w:eastAsia="微软雅黑"/>
        </w:rPr>
      </w:pPr>
    </w:p>
    <w:p>
      <w:pPr>
        <w:pStyle w:val="8"/>
        <w:rPr>
          <w:rFonts w:ascii="微软雅黑" w:hAnsi="微软雅黑" w:eastAsia="微软雅黑"/>
        </w:rPr>
      </w:pPr>
      <w:bookmarkStart w:id="14" w:name="_Toc1163"/>
      <w:bookmarkStart w:id="15" w:name="_Toc37868265"/>
      <w:r>
        <w:rPr>
          <w:rFonts w:hint="eastAsia" w:ascii="微软雅黑" w:hAnsi="微软雅黑" w:eastAsia="微软雅黑"/>
        </w:rPr>
        <w:t>新建申报补贴</w:t>
      </w:r>
      <w:bookmarkEnd w:id="14"/>
      <w:bookmarkEnd w:id="15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新建申报补贴流程分为4步，分别为：填写企业申报表、导入人员名册、填写培训方案、上传其他申报材料。当企业申报表、导入人员名册、填写培训方案填写完成后，区科委即可查看到该申报内容。</w:t>
      </w:r>
    </w:p>
    <w:p>
      <w:pPr>
        <w:pStyle w:val="9"/>
        <w:rPr>
          <w:rFonts w:ascii="微软雅黑" w:hAnsi="微软雅黑" w:eastAsia="微软雅黑"/>
        </w:rPr>
      </w:pPr>
      <w:bookmarkStart w:id="16" w:name="_Toc37868266"/>
      <w:bookmarkStart w:id="17" w:name="_Toc14453"/>
      <w:r>
        <w:rPr>
          <w:rFonts w:hint="eastAsia" w:ascii="微软雅黑" w:hAnsi="微软雅黑" w:eastAsia="微软雅黑"/>
        </w:rPr>
        <w:t>企业申报表</w:t>
      </w:r>
      <w:bookmarkEnd w:id="16"/>
      <w:bookmarkEnd w:id="17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填写（选择）图1-9中的信息，完成企业申报表的填写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2591435" cy="935355"/>
            <wp:effectExtent l="0" t="0" r="1841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图1-9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企业申报表中的所有信息均为必填（选）项，均需要用户填写，如有信息遗漏则无法点击“下一步”。所有信息填写完成后，点击“下一步”进入“人员名册”流程。</w:t>
      </w:r>
    </w:p>
    <w:p>
      <w:pPr>
        <w:pStyle w:val="10"/>
        <w:ind w:firstLine="480"/>
        <w:rPr>
          <w:rFonts w:ascii="微软雅黑" w:hAnsi="微软雅黑" w:eastAsia="微软雅黑"/>
        </w:rPr>
      </w:pPr>
    </w:p>
    <w:p>
      <w:pPr>
        <w:pStyle w:val="9"/>
        <w:rPr>
          <w:rFonts w:ascii="微软雅黑" w:hAnsi="微软雅黑" w:eastAsia="微软雅黑"/>
        </w:rPr>
      </w:pPr>
      <w:bookmarkStart w:id="18" w:name="_Toc37868267"/>
      <w:bookmarkStart w:id="19" w:name="_Toc28835"/>
      <w:r>
        <w:rPr>
          <w:rFonts w:hint="eastAsia" w:ascii="微软雅黑" w:hAnsi="微软雅黑" w:eastAsia="微软雅黑"/>
        </w:rPr>
        <w:t>人员花名册</w:t>
      </w:r>
      <w:bookmarkEnd w:id="18"/>
      <w:bookmarkEnd w:id="19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用户填写完成企业申报表后，进入人员名册上传页面，需要用户导入需要培训的人的列表。要求操作者将人员名册模板Excel下载到本地，本地填写完成再上传至系统中。上传后系统自动解析上传内容并对内容进行校验。如图1-10：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493645" cy="996950"/>
            <wp:effectExtent l="0" t="0" r="1905" b="12700"/>
            <wp:docPr id="6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Fonts w:ascii="微软雅黑" w:hAnsi="微软雅黑" w:eastAsia="微软雅黑"/>
          <w:i/>
        </w:rPr>
      </w:pPr>
      <w:r>
        <w:rPr>
          <w:rFonts w:hint="eastAsia" w:ascii="微软雅黑" w:hAnsi="微软雅黑" w:eastAsia="微软雅黑"/>
          <w:i/>
        </w:rPr>
        <w:t>图1-10</w:t>
      </w:r>
    </w:p>
    <w:p>
      <w:pPr>
        <w:pStyle w:val="9"/>
        <w:rPr>
          <w:rFonts w:ascii="微软雅黑" w:hAnsi="微软雅黑" w:eastAsia="微软雅黑"/>
        </w:rPr>
      </w:pPr>
      <w:bookmarkStart w:id="20" w:name="_Toc392"/>
      <w:bookmarkStart w:id="21" w:name="_Toc37868268"/>
      <w:r>
        <w:rPr>
          <w:rFonts w:hint="eastAsia" w:ascii="微软雅黑" w:hAnsi="微软雅黑" w:eastAsia="微软雅黑"/>
        </w:rPr>
        <w:t>培训方案</w:t>
      </w:r>
      <w:bookmarkEnd w:id="20"/>
      <w:bookmarkEnd w:id="21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人员名册上传完成并且数据通过校验后，点击“下一步”进入培训方案填写页面，填写内容如图1-11所示，其中所有项均为必填（选）。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360930" cy="969010"/>
            <wp:effectExtent l="0" t="0" r="1270" b="2540"/>
            <wp:docPr id="6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图1-11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“培训课程情况”和“培训师资情况”以列表的形式填写，如需添加多个课程（师资情况），点击相应列表中“课程添加”，“师资添加”按钮即可。如图1-12,1-13如页面中有任何项没有填写（选择）则无法点击“下一步”按钮。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3131185" cy="685165"/>
            <wp:effectExtent l="0" t="0" r="1206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3720" w:firstLineChars="1550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图1-12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40710" cy="605790"/>
            <wp:effectExtent l="0" t="0" r="2540" b="3810"/>
            <wp:docPr id="6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3720" w:firstLineChars="1550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图1-13</w:t>
      </w:r>
    </w:p>
    <w:p>
      <w:pPr>
        <w:pStyle w:val="10"/>
        <w:ind w:firstLine="480"/>
        <w:rPr>
          <w:rFonts w:ascii="微软雅黑" w:hAnsi="微软雅黑" w:eastAsia="微软雅黑"/>
          <w:b/>
          <w:bCs/>
          <w:szCs w:val="22"/>
        </w:rPr>
      </w:pPr>
      <w:r>
        <w:rPr>
          <w:rFonts w:hint="eastAsia" w:ascii="微软雅黑" w:hAnsi="微软雅黑" w:eastAsia="微软雅黑"/>
          <w:b/>
          <w:bCs/>
          <w:szCs w:val="22"/>
        </w:rPr>
        <w:t>注：以上1、2、3项材料必须要在当期培训开班前填写完成。</w:t>
      </w:r>
    </w:p>
    <w:p>
      <w:pPr>
        <w:pStyle w:val="9"/>
        <w:rPr>
          <w:rFonts w:ascii="微软雅黑" w:hAnsi="微软雅黑" w:eastAsia="微软雅黑"/>
        </w:rPr>
      </w:pPr>
      <w:bookmarkStart w:id="22" w:name="_Toc37868269"/>
      <w:bookmarkStart w:id="23" w:name="_Toc17152"/>
      <w:r>
        <w:rPr>
          <w:rFonts w:hint="eastAsia" w:ascii="微软雅黑" w:hAnsi="微软雅黑" w:eastAsia="微软雅黑"/>
        </w:rPr>
        <w:t>其他申报材料</w:t>
      </w:r>
      <w:bookmarkEnd w:id="22"/>
      <w:bookmarkEnd w:id="23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“培训方案”信息填写完成并且通过校验后，点击“下一步”进入“其他申报材料”页面，如图1-14所示：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2292985" cy="1082040"/>
            <wp:effectExtent l="0" t="0" r="12065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图1-14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需要上传的文件如图所示，点击上传按钮即可将本地文件上传至系统，文件上传后，会将文件名显示在页面上，点击文件名右侧的“X”按钮可以删除已经上传的文件。</w:t>
      </w:r>
    </w:p>
    <w:p>
      <w:pPr>
        <w:pStyle w:val="10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文件“绩效说明”和“材料真实性证书”可以在页面下载模板，本地填写完成后进行上传。</w:t>
      </w:r>
    </w:p>
    <w:p>
      <w:pPr>
        <w:pStyle w:val="10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支持jpg,png,pdf,zip,rar格式文件，单个文件的大小应低于5</w:t>
      </w:r>
      <w:r>
        <w:rPr>
          <w:rFonts w:ascii="微软雅黑" w:hAnsi="微软雅黑" w:eastAsia="微软雅黑"/>
        </w:rPr>
        <w:t>0</w:t>
      </w:r>
      <w:r>
        <w:rPr>
          <w:rFonts w:hint="eastAsia" w:ascii="微软雅黑" w:hAnsi="微软雅黑" w:eastAsia="微软雅黑"/>
        </w:rPr>
        <w:t>M</w:t>
      </w:r>
    </w:p>
    <w:p>
      <w:pPr>
        <w:pStyle w:val="10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jpg,png,pdf文件支持在线预览，zip,rar格式文件下载查看。</w:t>
      </w:r>
    </w:p>
    <w:p>
      <w:pPr>
        <w:pStyle w:val="10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“其他文件”为选填项，剩余文件均为必须上传</w:t>
      </w:r>
    </w:p>
    <w:p>
      <w:pPr>
        <w:pStyle w:val="9"/>
        <w:rPr>
          <w:rFonts w:ascii="微软雅黑" w:hAnsi="微软雅黑" w:eastAsia="微软雅黑"/>
        </w:rPr>
      </w:pPr>
      <w:bookmarkStart w:id="24" w:name="_Toc207"/>
      <w:r>
        <w:rPr>
          <w:rFonts w:hint="eastAsia" w:ascii="微软雅黑" w:hAnsi="微软雅黑" w:eastAsia="微软雅黑"/>
        </w:rPr>
        <w:t>合规审验</w:t>
      </w:r>
      <w:bookmarkEnd w:id="24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“其他申报材料”上传完成并且验证无误后，点击“下一步”按钮，跳转至合规审验页面，如图1-15，需要确认所有功能项合规审验通过，才可以点击提交完成申报。</w:t>
      </w:r>
    </w:p>
    <w:p>
      <w:pPr>
        <w:pStyle w:val="10"/>
        <w:ind w:firstLine="48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2152650" cy="952500"/>
            <wp:effectExtent l="0" t="0" r="0" b="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i/>
          <w:i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Style w:val="11"/>
          <w:rFonts w:hint="eastAsia" w:ascii="微软雅黑" w:hAnsi="微软雅黑" w:eastAsia="微软雅黑"/>
        </w:rPr>
        <w:t>图1-15</w:t>
      </w:r>
    </w:p>
    <w:p>
      <w:pPr>
        <w:pStyle w:val="8"/>
        <w:rPr>
          <w:rFonts w:ascii="微软雅黑" w:hAnsi="微软雅黑" w:eastAsia="微软雅黑"/>
        </w:rPr>
      </w:pPr>
      <w:bookmarkStart w:id="25" w:name="_Toc37868271"/>
      <w:bookmarkStart w:id="26" w:name="_Toc25769"/>
      <w:r>
        <w:rPr>
          <w:rFonts w:hint="eastAsia" w:ascii="微软雅黑" w:hAnsi="微软雅黑" w:eastAsia="微软雅黑"/>
        </w:rPr>
        <w:t>查看申报补贴</w:t>
      </w:r>
      <w:bookmarkEnd w:id="25"/>
      <w:bookmarkEnd w:id="26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企业用户可以以列表的形式查看所有申报项目（包括处于草稿状态的申报），并可以查看申报的详情，如图1-16</w:t>
      </w:r>
    </w:p>
    <w:p>
      <w:pPr>
        <w:pStyle w:val="10"/>
        <w:ind w:firstLine="48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854960" cy="902335"/>
            <wp:effectExtent l="0" t="0" r="2540" b="12065"/>
            <wp:docPr id="7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i/>
          <w:i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Style w:val="11"/>
          <w:rFonts w:hint="eastAsia" w:ascii="微软雅黑" w:hAnsi="微软雅黑" w:eastAsia="微软雅黑"/>
        </w:rPr>
        <w:t>图1-16</w:t>
      </w:r>
    </w:p>
    <w:p>
      <w:pPr>
        <w:pStyle w:val="9"/>
        <w:rPr>
          <w:rFonts w:ascii="微软雅黑" w:hAnsi="微软雅黑" w:eastAsia="微软雅黑"/>
        </w:rPr>
      </w:pPr>
      <w:bookmarkStart w:id="27" w:name="_Toc37868272"/>
      <w:bookmarkStart w:id="28" w:name="_Toc13686"/>
      <w:r>
        <w:rPr>
          <w:rFonts w:hint="eastAsia" w:ascii="微软雅黑" w:hAnsi="微软雅黑" w:eastAsia="微软雅黑"/>
        </w:rPr>
        <w:t>筛选列表内容</w:t>
      </w:r>
      <w:bookmarkEnd w:id="27"/>
      <w:bookmarkEnd w:id="28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企业用户可以通过补贴类型、申报标题、产业类别、培训项目、申报状态5个维度的筛选控制列表中显示的数据，选择筛选条件后点击“查询”按钮，即可将筛选后的数据显示在下方列表中。</w:t>
      </w:r>
    </w:p>
    <w:p>
      <w:pPr>
        <w:pStyle w:val="9"/>
        <w:rPr>
          <w:rFonts w:ascii="微软雅黑" w:hAnsi="微软雅黑" w:eastAsia="微软雅黑"/>
        </w:rPr>
      </w:pPr>
      <w:bookmarkStart w:id="29" w:name="_Toc37868273"/>
      <w:bookmarkStart w:id="30" w:name="_Toc4465"/>
      <w:r>
        <w:rPr>
          <w:rFonts w:hint="eastAsia" w:ascii="微软雅黑" w:hAnsi="微软雅黑" w:eastAsia="微软雅黑"/>
        </w:rPr>
        <w:t>列表内容</w:t>
      </w:r>
      <w:bookmarkEnd w:id="29"/>
      <w:bookmarkEnd w:id="30"/>
    </w:p>
    <w:p>
      <w:pPr>
        <w:pStyle w:val="10"/>
        <w:spacing w:line="540" w:lineRule="exact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列表中显示申报的粗略信息，数据分为两种状态：草稿状态（未提交申报）、已提交申报状态。 </w:t>
      </w:r>
    </w:p>
    <w:p>
      <w:pPr>
        <w:pStyle w:val="10"/>
        <w:spacing w:line="540" w:lineRule="exact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列表中的申报处于草稿状态：点击列表中的申报标题可以编辑草稿，重新进行填报，如图</w:t>
      </w: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-17所示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2709545" cy="1155065"/>
            <wp:effectExtent l="0" t="0" r="14605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ascii="微软雅黑" w:hAnsi="微软雅黑" w:eastAsia="微软雅黑"/>
        </w:rPr>
        <w:t>图1</w:t>
      </w:r>
      <w:r>
        <w:rPr>
          <w:rStyle w:val="11"/>
          <w:rFonts w:hint="eastAsia" w:ascii="微软雅黑" w:hAnsi="微软雅黑" w:eastAsia="微软雅黑"/>
        </w:rPr>
        <w:t>-17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列表中的申报已提交：点击标题可以查看已经申报的申报详情，申报详情包括：填写的申报信息，上传的人员名册，填写的培训方案，申报上传的材料等所有信息。也可以在列表的“操作”-“申报进度”处查看当前申报的审批进度，如图所示</w:t>
      </w: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-18所示</w:t>
      </w:r>
    </w:p>
    <w:p>
      <w:pPr>
        <w:pStyle w:val="10"/>
        <w:ind w:firstLine="48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2087245" cy="2000250"/>
            <wp:effectExtent l="0" t="0" r="8255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ascii="微软雅黑" w:hAnsi="微软雅黑" w:eastAsia="微软雅黑"/>
        </w:rPr>
        <w:t>图1</w:t>
      </w:r>
      <w:r>
        <w:rPr>
          <w:rStyle w:val="11"/>
          <w:rFonts w:hint="eastAsia" w:ascii="微软雅黑" w:hAnsi="微软雅黑" w:eastAsia="微软雅黑"/>
        </w:rPr>
        <w:t>-18</w:t>
      </w:r>
    </w:p>
    <w:p>
      <w:pPr>
        <w:pStyle w:val="9"/>
        <w:rPr>
          <w:rFonts w:ascii="微软雅黑" w:hAnsi="微软雅黑" w:eastAsia="微软雅黑"/>
        </w:rPr>
      </w:pPr>
      <w:bookmarkStart w:id="31" w:name="_Toc2059"/>
      <w:r>
        <w:rPr>
          <w:rFonts w:hint="eastAsia" w:ascii="微软雅黑" w:hAnsi="微软雅黑" w:eastAsia="微软雅黑"/>
        </w:rPr>
        <w:t>下载申请表</w:t>
      </w:r>
      <w:bookmarkEnd w:id="31"/>
    </w:p>
    <w:p>
      <w:pPr>
        <w:pStyle w:val="10"/>
        <w:ind w:firstLine="480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待申报项目全部提交完毕后，可点击“填报完毕”按钮，完成本次填报。点击填报完毕后，将无法再新建补贴申报；同时“填报完毕”按钮变为“一键生成申报表”按钮，申报企业需点击“一键生成申报表”按钮下载申报表，打印盖章，在2个工作日内将纸质申报表提交至所在区科委。如图1-19,1-20所示。</w:t>
      </w:r>
    </w:p>
    <w:p>
      <w:pPr>
        <w:pStyle w:val="10"/>
        <w:ind w:firstLine="0" w:firstLineChars="0"/>
        <w:jc w:val="center"/>
        <w:rPr>
          <w:rStyle w:val="11"/>
          <w:rFonts w:ascii="微软雅黑" w:hAnsi="微软雅黑" w:eastAsia="微软雅黑"/>
        </w:rPr>
      </w:pPr>
      <w:r>
        <w:drawing>
          <wp:inline distT="0" distB="0" distL="114300" distR="114300">
            <wp:extent cx="2640330" cy="1215390"/>
            <wp:effectExtent l="0" t="0" r="7620" b="381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/>
        <w:jc w:val="center"/>
        <w:rPr>
          <w:rStyle w:val="11"/>
          <w:rFonts w:ascii="微软雅黑" w:hAnsi="微软雅黑" w:eastAsia="微软雅黑"/>
          <w:sz w:val="21"/>
          <w:szCs w:val="22"/>
        </w:rPr>
      </w:pPr>
      <w:r>
        <w:rPr>
          <w:rStyle w:val="11"/>
          <w:rFonts w:hint="eastAsia" w:ascii="微软雅黑" w:hAnsi="微软雅黑" w:eastAsia="微软雅黑"/>
          <w:sz w:val="21"/>
          <w:szCs w:val="22"/>
        </w:rPr>
        <w:t>图1-19</w:t>
      </w:r>
    </w:p>
    <w:p>
      <w:pPr>
        <w:pStyle w:val="10"/>
        <w:ind w:firstLine="0" w:firstLineChars="0"/>
        <w:jc w:val="center"/>
      </w:pPr>
      <w:r>
        <w:drawing>
          <wp:inline distT="0" distB="0" distL="114300" distR="114300">
            <wp:extent cx="2660015" cy="1216025"/>
            <wp:effectExtent l="0" t="0" r="6985" b="317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/>
        <w:jc w:val="center"/>
        <w:rPr>
          <w:rStyle w:val="11"/>
          <w:rFonts w:ascii="微软雅黑" w:hAnsi="微软雅黑" w:eastAsia="微软雅黑"/>
          <w:sz w:val="21"/>
          <w:szCs w:val="22"/>
        </w:rPr>
      </w:pPr>
      <w:r>
        <w:rPr>
          <w:rStyle w:val="11"/>
          <w:rFonts w:hint="eastAsia" w:ascii="微软雅黑" w:hAnsi="微软雅黑" w:eastAsia="微软雅黑"/>
          <w:sz w:val="21"/>
          <w:szCs w:val="22"/>
        </w:rPr>
        <w:t>图1-20</w:t>
      </w:r>
    </w:p>
    <w:p>
      <w:pPr>
        <w:pStyle w:val="8"/>
        <w:rPr>
          <w:rFonts w:ascii="微软雅黑" w:hAnsi="微软雅黑" w:eastAsia="微软雅黑"/>
        </w:rPr>
      </w:pPr>
      <w:bookmarkStart w:id="32" w:name="_Toc37868274"/>
      <w:bookmarkStart w:id="33" w:name="_Toc25483"/>
      <w:r>
        <w:rPr>
          <w:rFonts w:hint="eastAsia" w:ascii="微软雅黑" w:hAnsi="微软雅黑" w:eastAsia="微软雅黑"/>
        </w:rPr>
        <w:t>历史申报查询</w:t>
      </w:r>
      <w:bookmarkEnd w:id="32"/>
      <w:bookmarkEnd w:id="33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历史申报查询功能支持用户查看往期时段的申报详情，功能同补贴申报查询，不同点如下：</w:t>
      </w:r>
    </w:p>
    <w:p>
      <w:pPr>
        <w:pStyle w:val="10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历史申报查询功能中，可以对申报时段进行筛选；</w:t>
      </w:r>
    </w:p>
    <w:p>
      <w:pPr>
        <w:pStyle w:val="10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如果申报没有提交（处在草稿状态），则无法对当前草稿再进行操作；</w:t>
      </w:r>
    </w:p>
    <w:p>
      <w:pPr>
        <w:pStyle w:val="10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列表中不显示申报时间，显示所属申报时段；</w:t>
      </w:r>
    </w:p>
    <w:p>
      <w:pPr>
        <w:pStyle w:val="10"/>
        <w:ind w:firstLine="0" w:firstLineChars="0"/>
        <w:jc w:val="center"/>
      </w:pPr>
      <w:r>
        <w:drawing>
          <wp:inline distT="0" distB="0" distL="114300" distR="114300">
            <wp:extent cx="2357120" cy="1028065"/>
            <wp:effectExtent l="0" t="0" r="5080" b="63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Fonts w:ascii="微软雅黑" w:hAnsi="微软雅黑" w:eastAsia="微软雅黑"/>
          <w:i/>
          <w:i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Style w:val="11"/>
          <w:rFonts w:ascii="微软雅黑" w:hAnsi="微软雅黑" w:eastAsia="微软雅黑"/>
        </w:rPr>
        <w:t>图1</w:t>
      </w:r>
      <w:r>
        <w:rPr>
          <w:rStyle w:val="11"/>
          <w:rFonts w:hint="eastAsia" w:ascii="微软雅黑" w:hAnsi="微软雅黑" w:eastAsia="微软雅黑"/>
        </w:rPr>
        <w:t>-21</w:t>
      </w:r>
    </w:p>
    <w:p>
      <w:pPr>
        <w:pStyle w:val="8"/>
        <w:rPr>
          <w:rFonts w:ascii="微软雅黑" w:hAnsi="微软雅黑" w:eastAsia="微软雅黑"/>
        </w:rPr>
      </w:pPr>
      <w:bookmarkStart w:id="34" w:name="_Toc13904"/>
      <w:bookmarkStart w:id="35" w:name="_Toc37868275"/>
      <w:r>
        <w:rPr>
          <w:rFonts w:hint="eastAsia" w:ascii="微软雅黑" w:hAnsi="微软雅黑" w:eastAsia="微软雅黑"/>
        </w:rPr>
        <w:t>企业信息维护</w:t>
      </w:r>
      <w:bookmarkEnd w:id="34"/>
      <w:bookmarkEnd w:id="35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用户可以通过此功能更新自己注册时的信息，其中不可更改项为：企业名称，统一社会信用代码，企业所在区，法定代表人，企业类型。点击保存即可将最新的信息保存到系统中。</w:t>
      </w:r>
    </w:p>
    <w:p>
      <w:pPr>
        <w:pStyle w:val="10"/>
        <w:ind w:firstLine="0" w:firstLineChars="0"/>
        <w:jc w:val="center"/>
      </w:pPr>
      <w:r>
        <w:drawing>
          <wp:inline distT="0" distB="0" distL="114300" distR="114300">
            <wp:extent cx="2663825" cy="1164590"/>
            <wp:effectExtent l="0" t="0" r="3175" b="1651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/>
        <w:jc w:val="center"/>
        <w:rPr>
          <w:rStyle w:val="11"/>
          <w:rFonts w:ascii="微软雅黑" w:hAnsi="微软雅黑" w:eastAsia="微软雅黑"/>
          <w:sz w:val="21"/>
          <w:szCs w:val="22"/>
        </w:rPr>
      </w:pPr>
      <w:r>
        <w:rPr>
          <w:rStyle w:val="11"/>
          <w:rFonts w:hint="eastAsia" w:ascii="微软雅黑" w:hAnsi="微软雅黑" w:eastAsia="微软雅黑"/>
          <w:sz w:val="21"/>
          <w:szCs w:val="22"/>
        </w:rPr>
        <w:t>图1-22</w:t>
      </w:r>
    </w:p>
    <w:p>
      <w:bookmarkStart w:id="36" w:name="_GoBack"/>
      <w:bookmarkEnd w:id="36"/>
    </w:p>
    <w:sectPr>
      <w:footerReference r:id="rId6" w:type="first"/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ascii="Arial" w:hAnsi="Arial" w:cs="Arial"/>
        <w:color w:val="FFFFFF" w:themeColor="background1"/>
        <w:sz w:val="15"/>
        <w14:textFill>
          <w14:solidFill>
            <w14:schemeClr w14:val="bg1"/>
          </w14:solidFill>
        </w14:textFill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3977005</wp:posOffset>
              </wp:positionH>
              <wp:positionV relativeFrom="paragraph">
                <wp:posOffset>5080</wp:posOffset>
              </wp:positionV>
              <wp:extent cx="1268730" cy="349885"/>
              <wp:effectExtent l="0" t="0" r="0" b="0"/>
              <wp:wrapNone/>
              <wp:docPr id="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8730" cy="349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www.JCloud.com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313.15pt;margin-top:0.4pt;height:27.55pt;width:99.9pt;z-index:251658240;mso-width-relative:page;mso-height-relative:page;" filled="f" stroked="f" coordsize="21600,21600" o:gfxdata="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ErTTmNQA&#10;AAAHAQAADwAAAAAAAAABACAAAAAiAAAAZHJzL2Rvd25yZXYueG1sUEsBAhQAFAAAAAgAh07iQESF&#10;MDLqAQAAxgMAAA4AAAAAAAAAAQAgAAAAIwEAAGRycy9lMm9Eb2MueG1sUEsFBgAAAAAGAAYAWQEA&#10;AH8FAAAAAA=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Arial" w:hAnsi="Arial" w:cs="Arial"/>
                        <w:color w:val="FFFFFF" w:themeColor="background1"/>
                        <w:sz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www.JCloud.com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5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152400"/>
              <wp:effectExtent l="0" t="0" r="0" b="0"/>
              <wp:wrapNone/>
              <wp:docPr id="7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26" o:spt="202" type="#_x0000_t202" style="position:absolute;left:0pt;margin-top:0pt;height:12pt;width:9.05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UYWtTdAAAAADAQAADwAAAAAAAAAB&#10;ACAAAAAiAAAAZHJzL2Rvd25yZXYueG1sUEsBAhQAFAAAAAgAh07iQHLqyTbfAQAAswMAAA4AAAAA&#10;AAAAAQAgAAAAHw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color w:val="FFFFFF" w:themeColor="background1"/>
        <w:sz w:val="15"/>
        <w14:textFill>
          <w14:solidFill>
            <w14:schemeClr w14:val="bg1"/>
          </w14:solidFill>
        </w14:textFill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3977005</wp:posOffset>
              </wp:positionH>
              <wp:positionV relativeFrom="paragraph">
                <wp:posOffset>5080</wp:posOffset>
              </wp:positionV>
              <wp:extent cx="1268730" cy="349885"/>
              <wp:effectExtent l="0" t="0" r="0" b="0"/>
              <wp:wrapNone/>
              <wp:docPr id="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8730" cy="349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www.JCloud.com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" o:spid="_x0000_s1026" o:spt="202" type="#_x0000_t202" style="position:absolute;left:0pt;margin-left:313.15pt;margin-top:0.4pt;height:27.55pt;width:99.9pt;z-index:251659264;mso-width-relative:page;mso-height-relative:page;" filled="f" stroked="f" coordsize="21600,21600" o:gfxdata="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StNOY&#10;1AAAAAcBAAAPAAAAAAAAAAEAIAAAACIAAABkcnMvZG93bnJldi54bWxQSwECFAAUAAAACACHTuJA&#10;N85cQ+wBAADGAwAADgAAAAAAAAABACAAAAAjAQAAZHJzL2Uyb0RvYy54bWxQSwUGAAAAAAYABgBZ&#10;AQAAgQUAAAAA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Arial" w:hAnsi="Arial" w:cs="Arial"/>
                        <w:color w:val="FFFFFF" w:themeColor="background1"/>
                        <w:sz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www.JCloud.com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52400"/>
              <wp:effectExtent l="0" t="0" r="0" b="0"/>
              <wp:wrapNone/>
              <wp:docPr id="3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4" o:spid="_x0000_s1026" o:spt="202" type="#_x0000_t202" style="position:absolute;left:0pt;margin-top:0pt;height:12pt;width:4.55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3esOQNAAAAACAQAADwAAAAAAAAAB&#10;ACAAAAAiAAAAZHJzL2Rvd25yZXYueG1sUEsBAhQAFAAAAAgAh07iQO1zWwrfAQAAsgMAAA4AAAAA&#10;AAAAAQAgAAAAHw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adjustRightInd/>
      <w:spacing w:line="240" w:lineRule="auto"/>
      <w:textAlignment w:val="auto"/>
      <w:rPr>
        <w:rFonts w:ascii="宋体" w:hAnsi="宋体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810B44"/>
    <w:multiLevelType w:val="multilevel"/>
    <w:tmpl w:val="3F810B44"/>
    <w:lvl w:ilvl="0" w:tentative="0">
      <w:start w:val="1"/>
      <w:numFmt w:val="bullet"/>
      <w:lvlText w:val="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">
    <w:nsid w:val="49E946B5"/>
    <w:multiLevelType w:val="multilevel"/>
    <w:tmpl w:val="49E946B5"/>
    <w:lvl w:ilvl="0" w:tentative="0">
      <w:start w:val="1"/>
      <w:numFmt w:val="chineseCountingThousand"/>
      <w:lvlText w:val="第%1部分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8"/>
      <w:isLgl/>
      <w:lvlText w:val="%1.%2"/>
      <w:lvlJc w:val="left"/>
      <w:pPr>
        <w:ind w:left="425" w:firstLine="0"/>
      </w:pPr>
      <w:rPr>
        <w:rFonts w:hint="eastAsia"/>
      </w:rPr>
    </w:lvl>
    <w:lvl w:ilvl="2" w:tentative="0">
      <w:start w:val="1"/>
      <w:numFmt w:val="decimal"/>
      <w:pStyle w:val="9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isLgl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isLgl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2">
    <w:nsid w:val="55125076"/>
    <w:multiLevelType w:val="multilevel"/>
    <w:tmpl w:val="55125076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66441F"/>
    <w:rsid w:val="7A664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60" w:lineRule="atLeast"/>
      <w:textAlignment w:val="baseline"/>
    </w:pPr>
    <w:rPr>
      <w:rFonts w:ascii="Times New Roman" w:hAnsi="Times New Roman" w:eastAsia="宋体" w:cstheme="minorBidi"/>
      <w:sz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200" w:firstLineChars="200"/>
    </w:pPr>
    <w:rPr>
      <w:rFonts w:cs="Times New Roman"/>
    </w:rPr>
  </w:style>
  <w:style w:type="paragraph" w:styleId="3">
    <w:name w:val="toc 3"/>
    <w:basedOn w:val="1"/>
    <w:next w:val="1"/>
    <w:unhideWhenUsed/>
    <w:qFormat/>
    <w:uiPriority w:val="39"/>
    <w:pPr>
      <w:ind w:left="840" w:leftChars="400"/>
    </w:pPr>
    <w:rPr>
      <w:rFonts w:cs="Times New Roman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5">
    <w:name w:val="toc 2"/>
    <w:basedOn w:val="1"/>
    <w:next w:val="1"/>
    <w:unhideWhenUsed/>
    <w:qFormat/>
    <w:uiPriority w:val="39"/>
    <w:pPr>
      <w:ind w:left="420" w:leftChars="200"/>
    </w:pPr>
    <w:rPr>
      <w:rFonts w:cs="Times New Roman"/>
    </w:rPr>
  </w:style>
  <w:style w:type="paragraph" w:customStyle="1" w:styleId="8">
    <w:name w:val="标题2"/>
    <w:basedOn w:val="1"/>
    <w:qFormat/>
    <w:uiPriority w:val="0"/>
    <w:pPr>
      <w:numPr>
        <w:ilvl w:val="1"/>
        <w:numId w:val="1"/>
      </w:numPr>
      <w:spacing w:line="360" w:lineRule="auto"/>
      <w:outlineLvl w:val="1"/>
    </w:pPr>
    <w:rPr>
      <w:b/>
      <w:sz w:val="30"/>
    </w:rPr>
  </w:style>
  <w:style w:type="paragraph" w:customStyle="1" w:styleId="9">
    <w:name w:val="标题3"/>
    <w:basedOn w:val="8"/>
    <w:qFormat/>
    <w:uiPriority w:val="0"/>
    <w:pPr>
      <w:numPr>
        <w:ilvl w:val="2"/>
      </w:numPr>
      <w:outlineLvl w:val="2"/>
    </w:pPr>
    <w:rPr>
      <w:sz w:val="28"/>
    </w:rPr>
  </w:style>
  <w:style w:type="paragraph" w:customStyle="1" w:styleId="10">
    <w:name w:val="RL正文"/>
    <w:basedOn w:val="2"/>
    <w:qFormat/>
    <w:uiPriority w:val="0"/>
    <w:pPr>
      <w:adjustRightInd/>
      <w:spacing w:line="360" w:lineRule="auto"/>
      <w:jc w:val="both"/>
      <w:textAlignment w:val="auto"/>
    </w:pPr>
    <w:rPr>
      <w:kern w:val="2"/>
    </w:rPr>
  </w:style>
  <w:style w:type="character" w:customStyle="1" w:styleId="11">
    <w:name w:val="不明显强调11"/>
    <w:basedOn w:val="7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2020-05-15T02:29:00Z</dcterms:created>
  <dc:creator>Administrator</dc:creator>
  <cp:lastModifiedBy>Administrator</cp:lastModifiedBy>
  <dcterms:modified xsi:type="dcterms:W3CDTF">2020-05-15T02:34:18Z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